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autoSpaceDE/>
        <w:autoSpaceDN/>
        <w:bidi w:val="0"/>
        <w:adjustRightInd/>
        <w:snapToGrid/>
        <w:spacing w:before="452" w:beforeAutospacing="0" w:after="0" w:afterAutospacing="0" w:line="240" w:lineRule="auto"/>
        <w:ind w:left="0" w:right="0"/>
        <w:jc w:val="center"/>
        <w:textAlignment w:val="auto"/>
        <w:outlineLvl w:val="9"/>
      </w:pPr>
      <w:r>
        <w:rPr>
          <w:rFonts w:hint="eastAsia" w:ascii="宋体" w:hAnsi="宋体" w:eastAsia="宋体" w:cs="宋体"/>
          <w:b/>
          <w:color w:val="333333"/>
          <w:sz w:val="36"/>
          <w:szCs w:val="36"/>
          <w:u w:val="none"/>
          <w:shd w:val="clear" w:fill="FFFFFF"/>
        </w:rPr>
        <w:t>开封市教育系统幼儿园园内场地和零星改造维修项目变更公告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0" w:right="0" w:firstLine="480"/>
        <w:jc w:val="left"/>
        <w:textAlignment w:val="auto"/>
        <w:outlineLvl w:val="9"/>
        <w:rPr>
          <w:rFonts w:hint="eastAsia" w:ascii="宋体" w:hAnsi="宋体" w:eastAsia="宋体" w:cs="宋体"/>
          <w:b w:val="0"/>
          <w:i w:val="0"/>
          <w:color w:val="333333"/>
          <w:kern w:val="0"/>
          <w:sz w:val="24"/>
          <w:szCs w:val="24"/>
          <w:u w:val="none"/>
          <w:shd w:val="clear" w:fill="FFFFFF"/>
          <w:lang w:val="en-US" w:eastAsia="zh-CN" w:bidi="ar"/>
        </w:rPr>
      </w:pPr>
      <w:r>
        <w:rPr>
          <w:rFonts w:hint="eastAsia" w:ascii="宋体" w:hAnsi="宋体" w:eastAsia="宋体" w:cs="宋体"/>
          <w:b w:val="0"/>
          <w:i w:val="0"/>
          <w:color w:val="333333"/>
          <w:kern w:val="0"/>
          <w:sz w:val="24"/>
          <w:szCs w:val="24"/>
          <w:u w:val="none"/>
          <w:shd w:val="clear" w:fill="FFFFFF"/>
          <w:lang w:val="en-US" w:eastAsia="zh-CN" w:bidi="ar"/>
        </w:rPr>
        <w:t>河南英华咨询有限公司受开封市教育系统幼儿园委托，就开封市教育系统幼儿园园内场地和零星改造维修项目进行邀请招标，于2018年7月6日发布邀请书，现对该招标文件作如下变更：</w:t>
      </w:r>
    </w:p>
    <w:p>
      <w:pPr>
        <w:pStyle w:val="2"/>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项目概况</w:t>
      </w:r>
    </w:p>
    <w:p>
      <w:pPr>
        <w:pStyle w:val="2"/>
        <w:numPr>
          <w:ilvl w:val="0"/>
          <w:numId w:val="0"/>
        </w:numPr>
        <w:rPr>
          <w:rFonts w:hint="eastAsi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480" w:right="0"/>
        <w:jc w:val="left"/>
        <w:textAlignment w:val="auto"/>
        <w:outlineLvl w:val="9"/>
        <w:rPr>
          <w:rFonts w:hint="eastAsia" w:asciiTheme="minorEastAsia" w:hAnsi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项目名称：</w:t>
      </w:r>
      <w:r>
        <w:rPr>
          <w:rFonts w:hint="eastAsia" w:asciiTheme="minorEastAsia" w:hAnsiTheme="minorEastAsia" w:cstheme="minorEastAsia"/>
          <w:b w:val="0"/>
          <w:i w:val="0"/>
          <w:color w:val="333333"/>
          <w:kern w:val="0"/>
          <w:sz w:val="24"/>
          <w:szCs w:val="24"/>
          <w:u w:val="none"/>
          <w:shd w:val="clear" w:fill="FFFFFF"/>
          <w:lang w:val="en-US" w:eastAsia="zh-CN" w:bidi="ar"/>
        </w:rPr>
        <w:t>开封市教育系统幼儿园园内场地和零星改造维修项目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48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项目编号：汴财邀（2018）</w:t>
      </w:r>
      <w:r>
        <w:rPr>
          <w:rFonts w:hint="eastAsia" w:asciiTheme="minorEastAsia" w:hAnsiTheme="minorEastAsia" w:cstheme="minorEastAsia"/>
          <w:b w:val="0"/>
          <w:i w:val="0"/>
          <w:color w:val="333333"/>
          <w:kern w:val="0"/>
          <w:sz w:val="24"/>
          <w:szCs w:val="24"/>
          <w:u w:val="none"/>
          <w:shd w:val="clear" w:fill="FFFFFF"/>
          <w:lang w:val="en-US" w:eastAsia="zh-CN" w:bidi="ar"/>
        </w:rPr>
        <w:t>30</w:t>
      </w: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号</w:t>
      </w:r>
    </w:p>
    <w:p>
      <w:pPr>
        <w:pStyle w:val="2"/>
        <w:rPr>
          <w:rFonts w:hint="eastAsia"/>
        </w:rPr>
      </w:pP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outlineLvl w:val="9"/>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pPr>
      <w:r>
        <w:rPr>
          <w:rFonts w:hint="eastAsia" w:asciiTheme="minorEastAsia" w:hAnsiTheme="minorEastAsia" w:eastAsiaTheme="minorEastAsia" w:cstheme="minorEastAsia"/>
          <w:b w:val="0"/>
          <w:i w:val="0"/>
          <w:color w:val="333333"/>
          <w:kern w:val="0"/>
          <w:sz w:val="24"/>
          <w:szCs w:val="24"/>
          <w:u w:val="none"/>
          <w:shd w:val="clear" w:fill="FFFFFF"/>
          <w:lang w:val="en-US" w:eastAsia="zh-CN" w:bidi="ar"/>
        </w:rPr>
        <w:t>变更内容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b/>
          <w:i w:val="0"/>
          <w:color w:val="333333"/>
          <w:kern w:val="0"/>
          <w:sz w:val="24"/>
          <w:szCs w:val="24"/>
          <w:u w:val="none"/>
          <w:shd w:val="clear" w:fill="FFFFFF"/>
          <w:lang w:val="en-US" w:eastAsia="zh-CN" w:bidi="ar"/>
        </w:rPr>
        <w:t>1、</w:t>
      </w:r>
      <w:r>
        <w:rPr>
          <w:rFonts w:hint="eastAsia" w:asciiTheme="minorEastAsia" w:hAnsiTheme="minorEastAsia" w:eastAsiaTheme="minorEastAsia" w:cstheme="minorEastAsia"/>
          <w:b/>
          <w:i w:val="0"/>
          <w:color w:val="333333"/>
          <w:kern w:val="0"/>
          <w:sz w:val="24"/>
          <w:szCs w:val="24"/>
          <w:u w:val="none"/>
          <w:shd w:val="clear" w:fill="FFFFFF"/>
          <w:lang w:val="en-US" w:eastAsia="zh-CN" w:bidi="ar"/>
        </w:rPr>
        <w:t>第三章  评标办</w:t>
      </w:r>
      <w:r>
        <w:rPr>
          <w:rFonts w:hint="eastAsia" w:ascii="微软雅黑" w:hAnsi="微软雅黑" w:eastAsia="微软雅黑" w:cs="微软雅黑"/>
          <w:b/>
          <w:i w:val="0"/>
          <w:color w:val="333333"/>
          <w:kern w:val="0"/>
          <w:sz w:val="24"/>
          <w:szCs w:val="24"/>
          <w:u w:val="none"/>
          <w:shd w:val="clear" w:fill="FFFFFF"/>
          <w:lang w:val="en-US" w:eastAsia="zh-CN" w:bidi="ar"/>
        </w:rPr>
        <w:t>法</w:t>
      </w:r>
    </w:p>
    <w:tbl>
      <w:tblPr>
        <w:tblStyle w:val="8"/>
        <w:tblpPr w:leftFromText="180" w:rightFromText="180" w:vertAnchor="text" w:horzAnchor="page" w:tblpX="1227" w:tblpY="569"/>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14"/>
        <w:gridCol w:w="2415"/>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2" w:hRule="atLeast"/>
        </w:trPr>
        <w:tc>
          <w:tcPr>
            <w:tcW w:w="796"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w:t>
            </w:r>
          </w:p>
        </w:tc>
        <w:tc>
          <w:tcPr>
            <w:tcW w:w="1114"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商务部分评审标准</w:t>
            </w:r>
          </w:p>
        </w:tc>
        <w:tc>
          <w:tcPr>
            <w:tcW w:w="2415" w:type="dxa"/>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（1）商务评审采用合理低价随机选取中标候选人办法</w:t>
            </w:r>
          </w:p>
        </w:tc>
        <w:tc>
          <w:tcPr>
            <w:tcW w:w="5235" w:type="dxa"/>
            <w:vAlign w:val="center"/>
          </w:tcPr>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1.抽取β系数，确定评标基准价。</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（1）β系数。</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β系数为10个，分别为0.5%、1%、1.5%、2%、2.5%、3%、3.5%、4%、4.5%、5%。由招标人选取6个及以上β系数作为项目备选β系数并在招标文件中注明，投标企业代表在进入随机选取中标候选人程序后摇号抽取产生β系数，β系数的产生由监督单位监督，β系数按项目标段进行抽取。</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（2）评标基准价的计算。</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评标基准价=（有效投标报价的算术平均值×50%+最高限价或招标控制价×50%）×（1-β系数）。有效投标报价是指评审合格的投标人报价。</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有效投标报价算术平均值的确定：各有效投标报价按由低至高进行排序，去掉排名最靠前的N个有效投标报价以及排名最靠后的N个有效投标报价之后，剩余有效投标报价的算术平均值。</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说明：N=Int（有效投标报价个数/4），其中Int为取整函数，不进行四舍五入。</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2.确定进入第二次摇号程序的投标人：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在提交的投标文件中应包括投标报价，其投标报价不得高于招标人设置的招标控制价。有效投标人是指评审合格的投标人。有效投标人少于3家（含3家）时，不再进行摇号程序，直接按投标报价由低到高排序，推荐中标候选人；有效投标人多于3家少于5家（含5家）时，直接进入摇号程序；有效投标人多于5家少于10家（含10家）时，按投标报价与评标基准价的差值进行计算，高于评标基准价差值的绝对值最小的2名投标人和低于评标基准价差值的绝对值最小的3名投标人进入摇号程序；投标人多于10家的，计算出评标基准价，按投标报价与评标基准价的差值进行计算，高于评标基准价差值的绝对值最小的4名投标人和低于评标基准价差值的绝对值最小的6名投标人进入摇号程序。</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高于或低于评标基准价的投标人家数少于应当进入摇号数量时，按实际数量进入摇号程序。有效投标人和中标候选人号码代码球的抽取按标段进行，若投标人报价出现并列则同时进入摇号程序。</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3.通过摇号确定中标候选人：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随机选取3名中标候选人，中标候选人名次按价格由低到高排序。如出现并列排名时，将并列排名的投标人对应的号码球放入摇号机，由招标人随机选取确定。</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随机选取中标候选人方法的摇号分两轮进行。</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轮：在开标现场，按递交投标文件的先后顺序由投标人法定代表人或其授权委托代理人随机选取代表各投标人号码的代码球。招标人或招标代理机构将随机选取的号码进行记录并由投标人的法定代表人或其授权委托代理人签字进行确认，投标人不确认的将视为自动放弃选取资格。</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第二轮：将符合进入第二轮摇号程序的代码球放入摇号机，由招标人代表从中随机选取3个球，3个代码球号码所对应的投标人为中标候选人。</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4.β值法。</w:t>
            </w:r>
          </w:p>
          <w:p>
            <w:pPr>
              <w:keepNext w:val="0"/>
              <w:keepLines w:val="0"/>
              <w:pageBreakBefore w:val="0"/>
              <w:kinsoku/>
              <w:wordWrap/>
              <w:overflowPunct/>
              <w:autoSpaceDE/>
              <w:autoSpaceDN/>
              <w:bidi w:val="0"/>
              <w:adjustRightInd/>
              <w:snapToGrid/>
              <w:spacing w:line="240" w:lineRule="auto"/>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参照合理低价随机选取中标候选人办法中的评标基准价的计算，按投标报价与评标基准价差值的绝对值大小排列名次，由小到大依次取前3名。如果产生:(1)结果中2个报价与评标基准价的差值的绝对值相同则报价低的排名在前；(2)结果中出现报价相同的2个或2个以上投标人的情况，则由招标人摇号排列名次。</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right="0"/>
        <w:jc w:val="left"/>
        <w:textAlignment w:val="auto"/>
        <w:outlineLvl w:val="9"/>
        <w:rPr>
          <w:b w:val="0"/>
          <w:i w:val="0"/>
        </w:rPr>
      </w:pPr>
      <w:r>
        <w:rPr>
          <w:rFonts w:hint="eastAsia" w:ascii="宋体" w:hAnsi="宋体" w:eastAsia="宋体" w:cs="宋体"/>
          <w:b/>
          <w:i w:val="0"/>
          <w:color w:val="333333"/>
          <w:kern w:val="0"/>
          <w:sz w:val="24"/>
          <w:szCs w:val="24"/>
          <w:u w:val="none"/>
          <w:shd w:val="clear" w:fill="FFFFFF"/>
          <w:lang w:val="en-US" w:eastAsia="zh-CN" w:bidi="ar"/>
        </w:rPr>
        <w:t>现变更为</w:t>
      </w:r>
      <w:r>
        <w:rPr>
          <w:rFonts w:hint="eastAsia" w:ascii="宋体" w:hAnsi="宋体" w:eastAsia="宋体" w:cs="宋体"/>
          <w:b w:val="0"/>
          <w:i w:val="0"/>
          <w:color w:val="333333"/>
          <w:kern w:val="0"/>
          <w:sz w:val="24"/>
          <w:szCs w:val="24"/>
          <w:u w:val="none"/>
          <w:shd w:val="clear" w:fill="FFFFFF"/>
          <w:lang w:val="en-US" w:eastAsia="zh-CN" w:bidi="ar"/>
        </w:rPr>
        <w:t>：</w:t>
      </w:r>
    </w:p>
    <w:tbl>
      <w:tblPr>
        <w:tblStyle w:val="8"/>
        <w:tblW w:w="9900" w:type="dxa"/>
        <w:jc w:val="center"/>
        <w:tblInd w:w="0" w:type="dxa"/>
        <w:tblLayout w:type="fixed"/>
        <w:tblCellMar>
          <w:top w:w="0" w:type="dxa"/>
          <w:left w:w="108" w:type="dxa"/>
          <w:bottom w:w="0" w:type="dxa"/>
          <w:right w:w="108" w:type="dxa"/>
        </w:tblCellMar>
      </w:tblPr>
      <w:tblGrid>
        <w:gridCol w:w="934"/>
        <w:gridCol w:w="1231"/>
        <w:gridCol w:w="7735"/>
      </w:tblGrid>
      <w:tr>
        <w:tblPrEx>
          <w:tblLayout w:type="fixed"/>
          <w:tblCellMar>
            <w:top w:w="0" w:type="dxa"/>
            <w:left w:w="108" w:type="dxa"/>
            <w:bottom w:w="0" w:type="dxa"/>
            <w:right w:w="108" w:type="dxa"/>
          </w:tblCellMar>
        </w:tblPrEx>
        <w:trPr>
          <w:trHeight w:val="4000" w:hRule="atLeast"/>
          <w:jc w:val="center"/>
        </w:trPr>
        <w:tc>
          <w:tcPr>
            <w:tcW w:w="93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hint="eastAsia" w:ascii="宋体" w:hAnsi="宋体" w:eastAsiaTheme="minorEastAsia"/>
                <w:color w:val="000000"/>
                <w:lang w:val="en-US" w:eastAsia="zh-CN"/>
              </w:rPr>
            </w:pPr>
            <w:r>
              <w:rPr>
                <w:rFonts w:hint="eastAsia" w:ascii="宋体" w:hAnsi="宋体"/>
                <w:color w:val="000000"/>
                <w:lang w:val="en-US" w:eastAsia="zh-CN"/>
              </w:rPr>
              <w:t>2.2</w:t>
            </w:r>
            <w:r>
              <w:rPr>
                <w:rFonts w:hint="eastAsia" w:ascii="宋体" w:hAnsi="宋体" w:cs="宋体"/>
                <w:sz w:val="24"/>
                <w:szCs w:val="24"/>
              </w:rPr>
              <w:t>商务部分评审标准</w:t>
            </w: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随机选取中标候选人办法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投标人在提交的投标文件中应包括投标报价，其投标报价不得高于招标人设置的招标控制价。有效投标人是指未被认定为否决投标的投标人。有效投标人少于3家（含3家）时，不再进行摇号，直接按投标报价由低到高排序，推荐中标候选人；有效投标人多于3家少于5家（含5家）时，直接进入摇号程序，随机选取3名中标候选人，中标候选人名次按价格由低到高排序；投标人多于5家少于10家（含10家）时，计算出评标基准价，按投标报价与评标基准价的差值进行计算，高于评标基准价差值的绝对值最小的2名投标人和低于评标基准价差值的绝对值最小的3名投标人进入摇号程序，随机选取3名中标候选人，中标候选人名次按价格由低到高排序；投标人多于10家的，计算出评标基准价，按投标报价与评标基准价的差值进行计算，高于评标基准价差值的绝对值最小的4名投标人和低于评标基准价差值的绝对值最小的6名投标人进入摇号程序，随机选取3名中标候选人，中标候选人名次按价格由低到高排序。</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高于或低于评标基准价的投标人家数少于应当进入摇号数量时，按实际数量进入摇号程序。</w:t>
            </w:r>
          </w:p>
        </w:tc>
      </w:tr>
      <w:tr>
        <w:tblPrEx>
          <w:tblLayout w:type="fixed"/>
          <w:tblCellMar>
            <w:top w:w="0" w:type="dxa"/>
            <w:left w:w="108" w:type="dxa"/>
            <w:bottom w:w="0" w:type="dxa"/>
            <w:right w:w="108" w:type="dxa"/>
          </w:tblCellMar>
        </w:tblPrEx>
        <w:trPr>
          <w:trHeight w:val="577" w:hRule="atLeast"/>
          <w:jc w:val="center"/>
        </w:trPr>
        <w:tc>
          <w:tcPr>
            <w:tcW w:w="934" w:type="dxa"/>
            <w:vMerge w:val="continue"/>
            <w:tcBorders>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评标基准价计算</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评标基准价=（有效投标报价的算术平均值×50%+招标控制价×50%）×（1-β系数）。β系数分别为0.5%、1%、1.5%、2%、2.5%、3%，投标企业代表在现场摇号抽取产生，β系数的产生由监督单位监督。β系数按项目标段进行抽取。</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有效投标报价是指未被认定为否决投标并进入商务评审的投标人报价。</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有效投标报价算术平均值的确定：各有效投标报价按由低至高进行排序，去掉排名最靠前的N个有效投标报价以及排名最靠后的N个有效投标报价之后，剩余有效投标报价的算术平均值。</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说明：N=Int（有效投标报价个数/4），其中Int为取整函数，不进行四舍五入。</w:t>
            </w:r>
          </w:p>
        </w:tc>
      </w:tr>
      <w:tr>
        <w:tblPrEx>
          <w:tblLayout w:type="fixed"/>
          <w:tblCellMar>
            <w:top w:w="0" w:type="dxa"/>
            <w:left w:w="108" w:type="dxa"/>
            <w:bottom w:w="0" w:type="dxa"/>
            <w:right w:w="108" w:type="dxa"/>
          </w:tblCellMar>
        </w:tblPrEx>
        <w:trPr>
          <w:trHeight w:val="577" w:hRule="atLeast"/>
          <w:jc w:val="center"/>
        </w:trPr>
        <w:tc>
          <w:tcPr>
            <w:tcW w:w="934" w:type="dxa"/>
            <w:vMerge w:val="continue"/>
            <w:tcBorders>
              <w:left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随机确定中标候选人办法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有效投标人和中标候选人号码代码球的抽取按标段进行，若投标人报价出现并列则同时进入摇号程序。</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摇号程序分两轮进行：</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hint="eastAsia" w:ascii="宋体" w:hAnsi="宋体"/>
                <w:spacing w:val="-4"/>
              </w:rPr>
            </w:pPr>
            <w:r>
              <w:rPr>
                <w:rFonts w:hint="eastAsia" w:ascii="宋体" w:hAnsi="宋体"/>
                <w:spacing w:val="-4"/>
              </w:rPr>
              <w:t>第一轮：进入摇号程序的有效投标人由投标人法定代表人或其授权委托代理人随机选取代表各投标人号码的代码球。招标人或招标代理机构将随机选取的号码进行记录并由投标人的法定代表人或其授权委托代理人签字进行确认，投标人不确认的将视为自动放弃随机选取资格。</w:t>
            </w:r>
          </w:p>
          <w:p>
            <w:pPr>
              <w:keepNext w:val="0"/>
              <w:keepLines w:val="0"/>
              <w:pageBreakBefore w:val="0"/>
              <w:kinsoku/>
              <w:wordWrap/>
              <w:overflowPunct/>
              <w:autoSpaceDE/>
              <w:autoSpaceDN/>
              <w:bidi w:val="0"/>
              <w:adjustRightInd/>
              <w:snapToGrid/>
              <w:spacing w:line="240" w:lineRule="auto"/>
              <w:textAlignment w:val="auto"/>
              <w:outlineLvl w:val="9"/>
              <w:rPr>
                <w:rFonts w:ascii="宋体" w:hAnsi="宋体"/>
                <w:spacing w:val="-4"/>
              </w:rPr>
            </w:pPr>
            <w:r>
              <w:rPr>
                <w:rFonts w:hint="eastAsia" w:ascii="宋体" w:hAnsi="宋体"/>
                <w:spacing w:val="-4"/>
              </w:rPr>
              <w:t>第二轮：将第一轮选取的代表各投标人的代码球放入摇号机，由招标人代表从中随机选取3个球，3个代码球号码所对应的投标人为中标候选人。</w:t>
            </w:r>
          </w:p>
        </w:tc>
      </w:tr>
      <w:tr>
        <w:tblPrEx>
          <w:tblLayout w:type="fixed"/>
          <w:tblCellMar>
            <w:top w:w="0" w:type="dxa"/>
            <w:left w:w="108" w:type="dxa"/>
            <w:bottom w:w="0" w:type="dxa"/>
            <w:right w:w="108" w:type="dxa"/>
          </w:tblCellMar>
        </w:tblPrEx>
        <w:trPr>
          <w:trHeight w:val="1990" w:hRule="atLeast"/>
          <w:jc w:val="center"/>
        </w:trPr>
        <w:tc>
          <w:tcPr>
            <w:tcW w:w="93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olor w:val="000000"/>
              </w:rPr>
            </w:pPr>
          </w:p>
        </w:tc>
        <w:tc>
          <w:tcPr>
            <w:tcW w:w="123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autoSpaceDE/>
              <w:autoSpaceDN/>
              <w:bidi w:val="0"/>
              <w:adjustRightInd/>
              <w:snapToGrid/>
              <w:spacing w:line="240" w:lineRule="auto"/>
              <w:jc w:val="center"/>
              <w:textAlignment w:val="auto"/>
              <w:outlineLvl w:val="9"/>
              <w:rPr>
                <w:rFonts w:ascii="宋体" w:hAnsi="宋体"/>
                <w:color w:val="000000"/>
              </w:rPr>
            </w:pPr>
            <w:r>
              <w:rPr>
                <w:rFonts w:hint="eastAsia" w:ascii="宋体" w:hAnsi="宋体"/>
                <w:color w:val="000000"/>
              </w:rPr>
              <w:t>确定中标人方法</w:t>
            </w:r>
          </w:p>
        </w:tc>
        <w:tc>
          <w:tcPr>
            <w:tcW w:w="773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中标候选人的排序按照中标候选人的投标报价从低到高排序。如出现并列排名时，将并列排名的投标人对应的号码球放入摇号机，由招标人依次随机选取确定。</w:t>
            </w:r>
          </w:p>
          <w:p>
            <w:pPr>
              <w:keepNext w:val="0"/>
              <w:keepLines w:val="0"/>
              <w:pageBreakBefore w:val="0"/>
              <w:kinsoku/>
              <w:wordWrap/>
              <w:overflowPunct/>
              <w:topLinePunct/>
              <w:autoSpaceDE/>
              <w:autoSpaceDN/>
              <w:bidi w:val="0"/>
              <w:adjustRightInd/>
              <w:snapToGrid/>
              <w:spacing w:line="240" w:lineRule="auto"/>
              <w:ind w:firstLine="404" w:firstLineChars="200"/>
              <w:textAlignment w:val="auto"/>
              <w:outlineLvl w:val="9"/>
              <w:rPr>
                <w:rFonts w:ascii="宋体" w:hAnsi="宋体"/>
                <w:spacing w:val="-4"/>
              </w:rPr>
            </w:pPr>
            <w:r>
              <w:rPr>
                <w:rFonts w:hint="eastAsia" w:ascii="宋体" w:hAnsi="宋体"/>
                <w:spacing w:val="-4"/>
              </w:rPr>
              <w:t>排名第一的中标候选人若放弃中标、因不可抗力提出不能履行合同或者在规定的期限内未按照招标文件规定提交履约保证金的，招标人可以确定排名第二的中标候选人为中标人。排名第二的中标候选人因前款规定的同样原因不能签订合同的，招标人可以确定排名第三的中标候选人为中标人，也可以重新招标。</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firstLine="480"/>
        <w:jc w:val="left"/>
        <w:textAlignment w:val="auto"/>
        <w:outlineLvl w:val="9"/>
        <w:rPr>
          <w:rFonts w:hint="eastAsia" w:ascii="宋体" w:hAnsi="宋体" w:eastAsia="宋体" w:cs="宋体"/>
          <w:b w:val="0"/>
          <w:i w:val="0"/>
          <w:color w:val="333333"/>
          <w:kern w:val="0"/>
          <w:sz w:val="24"/>
          <w:szCs w:val="24"/>
          <w:u w:val="none"/>
          <w:shd w:val="clear" w:fill="FFFFFF"/>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2" w:beforeAutospacing="0" w:after="0" w:afterAutospacing="0" w:line="240" w:lineRule="auto"/>
        <w:ind w:left="482" w:leftChars="0" w:right="0" w:rightChars="0"/>
        <w:jc w:val="left"/>
        <w:textAlignment w:val="auto"/>
        <w:outlineLvl w:val="9"/>
        <w:rPr>
          <w:b w:val="0"/>
          <w:i w:val="0"/>
        </w:rPr>
      </w:pPr>
      <w:r>
        <w:rPr>
          <w:rFonts w:hint="eastAsia" w:ascii="宋体" w:hAnsi="宋体" w:eastAsia="宋体" w:cs="宋体"/>
          <w:b w:val="0"/>
          <w:i w:val="0"/>
          <w:color w:val="333333"/>
          <w:kern w:val="0"/>
          <w:sz w:val="24"/>
          <w:szCs w:val="24"/>
          <w:u w:val="none"/>
          <w:shd w:val="clear" w:fill="FFFFFF"/>
          <w:lang w:val="en-US" w:eastAsia="zh-CN" w:bidi="ar"/>
        </w:rPr>
        <w:t>其他内容不变！</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0" w:leftChars="0" w:right="0" w:firstLine="0" w:firstLineChars="0"/>
        <w:jc w:val="left"/>
        <w:textAlignment w:val="auto"/>
        <w:outlineLvl w:val="9"/>
        <w:rPr>
          <w:rFonts w:hint="default" w:ascii="serif" w:hAnsi="serif" w:eastAsia="serif" w:cs="serif"/>
          <w:b/>
          <w:i w:val="0"/>
          <w:color w:val="333333"/>
          <w:kern w:val="0"/>
          <w:sz w:val="24"/>
          <w:szCs w:val="24"/>
          <w:u w:val="none"/>
          <w:shd w:val="clear" w:fill="FFFFFF"/>
          <w:lang w:val="en-US" w:eastAsia="zh-CN" w:bidi="ar"/>
        </w:rPr>
      </w:pPr>
      <w:r>
        <w:rPr>
          <w:rFonts w:hint="default" w:ascii="serif" w:hAnsi="serif" w:eastAsia="serif" w:cs="serif"/>
          <w:b/>
          <w:i w:val="0"/>
          <w:color w:val="333333"/>
          <w:kern w:val="0"/>
          <w:sz w:val="24"/>
          <w:szCs w:val="24"/>
          <w:u w:val="none"/>
          <w:shd w:val="clear" w:fill="FFFFFF"/>
          <w:lang w:val="en-US" w:eastAsia="zh-CN" w:bidi="ar"/>
        </w:rPr>
        <w:t>联系事项</w:t>
      </w:r>
    </w:p>
    <w:p>
      <w:pPr>
        <w:pStyle w:val="2"/>
        <w:numPr>
          <w:ilvl w:val="0"/>
          <w:numId w:val="0"/>
        </w:numPr>
        <w:ind w:leftChars="0"/>
      </w:pP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招 标 人：开封市教育系统幼儿园</w:t>
      </w: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 系 人：盖女士</w:t>
      </w: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联系电话：13937898876</w:t>
      </w: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     址：开封市鼓楼区馆驿街25号</w:t>
      </w:r>
    </w:p>
    <w:p>
      <w:pPr>
        <w:pStyle w:val="2"/>
        <w:rPr>
          <w:rFonts w:hint="eastAsia"/>
        </w:rPr>
      </w:pP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代理机构：河南英华咨询有限公司</w:t>
      </w:r>
    </w:p>
    <w:p>
      <w:pPr>
        <w:keepNext w:val="0"/>
        <w:keepLines w:val="0"/>
        <w:pageBreakBefore w:val="0"/>
        <w:kinsoku/>
        <w:wordWrap/>
        <w:overflowPunct/>
        <w:autoSpaceDE/>
        <w:autoSpaceDN/>
        <w:bidi w:val="0"/>
        <w:adjustRightInd/>
        <w:snapToGrid/>
        <w:spacing w:line="240" w:lineRule="auto"/>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 xml:space="preserve">   联 系 人：刘先生</w:t>
      </w: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联系电话：13271159787</w:t>
      </w:r>
    </w:p>
    <w:p>
      <w:pPr>
        <w:keepNext w:val="0"/>
        <w:keepLines w:val="0"/>
        <w:pageBreakBefore w:val="0"/>
        <w:kinsoku/>
        <w:wordWrap/>
        <w:overflowPunct/>
        <w:autoSpaceDE/>
        <w:autoSpaceDN/>
        <w:bidi w:val="0"/>
        <w:adjustRightInd/>
        <w:snapToGrid/>
        <w:spacing w:line="240" w:lineRule="auto"/>
        <w:ind w:firstLine="360" w:firstLineChars="150"/>
        <w:textAlignment w:val="auto"/>
        <w:outlineLvl w:val="9"/>
        <w:rPr>
          <w:rFonts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地   址：郑州市高新技术开发区电厂路80号162幢21层64号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452" w:beforeAutospacing="0" w:after="0" w:afterAutospacing="0" w:line="240" w:lineRule="auto"/>
        <w:ind w:left="5040" w:right="0" w:hanging="4560"/>
        <w:jc w:val="left"/>
        <w:textAlignment w:val="auto"/>
        <w:outlineLvl w:val="9"/>
        <w:rPr>
          <w:b w:val="0"/>
          <w:i w:val="0"/>
        </w:rPr>
      </w:pPr>
      <w:bookmarkStart w:id="0" w:name="_GoBack"/>
      <w:bookmarkEnd w:id="0"/>
    </w:p>
    <w:p>
      <w:pPr>
        <w:keepNext w:val="0"/>
        <w:keepLines w:val="0"/>
        <w:pageBreakBefore w:val="0"/>
        <w:kinsoku/>
        <w:wordWrap/>
        <w:overflowPunct/>
        <w:autoSpaceDE/>
        <w:autoSpaceDN/>
        <w:bidi w:val="0"/>
        <w:adjustRightInd/>
        <w:snapToGrid/>
        <w:spacing w:line="240" w:lineRule="auto"/>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4A946"/>
    <w:multiLevelType w:val="singleLevel"/>
    <w:tmpl w:val="EDC4A946"/>
    <w:lvl w:ilvl="0" w:tentative="0">
      <w:start w:val="1"/>
      <w:numFmt w:val="chineseCounting"/>
      <w:suff w:val="nothing"/>
      <w:lvlText w:val="%1、"/>
      <w:lvlJc w:val="left"/>
      <w:rPr>
        <w:rFonts w:hint="eastAsia"/>
      </w:rPr>
    </w:lvl>
  </w:abstractNum>
  <w:abstractNum w:abstractNumId="1">
    <w:nsid w:val="2308C59A"/>
    <w:multiLevelType w:val="singleLevel"/>
    <w:tmpl w:val="2308C59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B4A4D"/>
    <w:rsid w:val="43C02B9E"/>
    <w:rsid w:val="4CBB4A4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333333"/>
      <w:u w:val="none"/>
    </w:rPr>
  </w:style>
  <w:style w:type="character" w:customStyle="1" w:styleId="9">
    <w:name w:val="right"/>
    <w:basedOn w:val="4"/>
    <w:uiPriority w:val="0"/>
    <w:rPr>
      <w:color w:val="999999"/>
      <w:sz w:val="18"/>
      <w:szCs w:val="18"/>
    </w:rPr>
  </w:style>
  <w:style w:type="character" w:customStyle="1" w:styleId="10">
    <w:name w:val="right1"/>
    <w:basedOn w:val="4"/>
    <w:uiPriority w:val="0"/>
    <w:rPr>
      <w:color w:val="999999"/>
    </w:rPr>
  </w:style>
  <w:style w:type="character" w:customStyle="1" w:styleId="11">
    <w:name w:val="red"/>
    <w:basedOn w:val="4"/>
    <w:uiPriority w:val="0"/>
    <w:rPr>
      <w:color w:val="FF0000"/>
      <w:sz w:val="21"/>
      <w:szCs w:val="21"/>
    </w:rPr>
  </w:style>
  <w:style w:type="character" w:customStyle="1" w:styleId="12">
    <w:name w:val="red1"/>
    <w:basedOn w:val="4"/>
    <w:uiPriority w:val="0"/>
    <w:rPr>
      <w:color w:val="FF0000"/>
      <w:sz w:val="24"/>
      <w:szCs w:val="24"/>
    </w:rPr>
  </w:style>
  <w:style w:type="character" w:customStyle="1" w:styleId="13">
    <w:name w:val="fl"/>
    <w:basedOn w:val="4"/>
    <w:uiPriority w:val="0"/>
    <w:rPr>
      <w:color w:val="666666"/>
    </w:rPr>
  </w:style>
  <w:style w:type="character" w:customStyle="1" w:styleId="14">
    <w:name w:val="hover23"/>
    <w:basedOn w:val="4"/>
    <w:uiPriority w:val="0"/>
  </w:style>
  <w:style w:type="character" w:customStyle="1" w:styleId="15">
    <w:name w:val="green"/>
    <w:basedOn w:val="4"/>
    <w:uiPriority w:val="0"/>
    <w:rPr>
      <w:color w:val="58B200"/>
      <w:sz w:val="21"/>
      <w:szCs w:val="21"/>
    </w:rPr>
  </w:style>
  <w:style w:type="character" w:customStyle="1" w:styleId="16">
    <w:name w:val="blue"/>
    <w:basedOn w:val="4"/>
    <w:uiPriority w:val="0"/>
    <w:rPr>
      <w:color w:val="0371C6"/>
      <w:sz w:val="21"/>
      <w:szCs w:val="21"/>
    </w:rPr>
  </w:style>
  <w:style w:type="character" w:customStyle="1" w:styleId="17">
    <w:name w:val="gb-jt"/>
    <w:basedOn w:val="4"/>
    <w:uiPriority w:val="0"/>
  </w:style>
  <w:style w:type="character" w:customStyle="1" w:styleId="18">
    <w:name w:val="fr4"/>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2018-07-11T08:57:00Z</dcterms:created>
  <dc:creator>Administrator</dc:creator>
  <cp:lastModifiedBy>Administrator</cp:lastModifiedBy>
  <dcterms:modified xsi:type="dcterms:W3CDTF">2018-07-11T09:41:24Z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