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390" w:beforeLines="125" w:after="156" w:afterLines="50" w:line="500" w:lineRule="exact"/>
        <w:jc w:val="center"/>
        <w:textAlignment w:val="auto"/>
        <w:outlineLvl w:val="0"/>
        <w:rPr>
          <w:b/>
          <w:kern w:val="0"/>
          <w:sz w:val="28"/>
          <w:szCs w:val="28"/>
        </w:rPr>
      </w:pPr>
      <w:bookmarkStart w:id="19" w:name="_GoBack"/>
      <w:r>
        <w:rPr>
          <w:rFonts w:eastAsia="黑体"/>
          <w:sz w:val="32"/>
          <w:szCs w:val="30"/>
        </w:rPr>
        <w:t xml:space="preserve">  </w:t>
      </w:r>
      <w:bookmarkStart w:id="0" w:name="_Toc4964"/>
      <w:bookmarkStart w:id="1" w:name="_Toc19540"/>
      <w:bookmarkStart w:id="2" w:name="_Toc18407"/>
      <w:r>
        <w:rPr>
          <w:rFonts w:hint="eastAsia" w:eastAsia="黑体"/>
          <w:sz w:val="32"/>
          <w:szCs w:val="30"/>
        </w:rPr>
        <w:t>通许县城市水系综合整治工程PPP项目</w:t>
      </w:r>
      <w:r>
        <w:rPr>
          <w:rFonts w:eastAsia="黑体"/>
          <w:sz w:val="32"/>
          <w:szCs w:val="30"/>
        </w:rPr>
        <w:t>资格预审公告</w:t>
      </w:r>
      <w:bookmarkEnd w:id="0"/>
      <w:bookmarkEnd w:id="1"/>
      <w:bookmarkEnd w:id="2"/>
    </w:p>
    <w:p>
      <w:pPr>
        <w:widowControl/>
        <w:shd w:val="clear" w:color="auto" w:fill="FFFFFF"/>
        <w:adjustRightInd w:val="0"/>
        <w:spacing w:line="400" w:lineRule="exact"/>
        <w:jc w:val="left"/>
        <w:outlineLvl w:val="1"/>
        <w:rPr>
          <w:b/>
          <w:bCs/>
          <w:kern w:val="0"/>
          <w:sz w:val="28"/>
          <w:szCs w:val="28"/>
        </w:rPr>
      </w:pPr>
      <w:r>
        <w:rPr>
          <w:rFonts w:hint="eastAsia"/>
          <w:b/>
          <w:kern w:val="0"/>
          <w:sz w:val="28"/>
          <w:szCs w:val="28"/>
        </w:rPr>
        <w:t xml:space="preserve"> </w:t>
      </w:r>
      <w:bookmarkStart w:id="3" w:name="_Toc19991"/>
      <w:r>
        <w:rPr>
          <w:b/>
          <w:bCs/>
          <w:kern w:val="0"/>
          <w:sz w:val="28"/>
          <w:szCs w:val="28"/>
        </w:rPr>
        <w:t>一、</w:t>
      </w:r>
      <w:r>
        <w:rPr>
          <w:rFonts w:hint="eastAsia"/>
          <w:b/>
          <w:bCs/>
          <w:kern w:val="0"/>
          <w:sz w:val="28"/>
          <w:szCs w:val="28"/>
        </w:rPr>
        <w:t>招标条件</w:t>
      </w:r>
      <w:bookmarkEnd w:id="3"/>
    </w:p>
    <w:p>
      <w:pPr>
        <w:widowControl/>
        <w:shd w:val="clear" w:color="auto" w:fill="FFFFFF"/>
        <w:spacing w:line="400" w:lineRule="exact"/>
        <w:ind w:firstLine="480" w:firstLineChars="200"/>
        <w:rPr>
          <w:kern w:val="0"/>
          <w:sz w:val="24"/>
        </w:rPr>
      </w:pPr>
      <w:r>
        <w:rPr>
          <w:rFonts w:hint="eastAsia"/>
          <w:kern w:val="0"/>
          <w:sz w:val="24"/>
        </w:rPr>
        <w:t xml:space="preserve">  本项目</w:t>
      </w:r>
      <w:r>
        <w:rPr>
          <w:rFonts w:hint="eastAsia"/>
          <w:b/>
          <w:kern w:val="0"/>
          <w:sz w:val="24"/>
          <w:u w:val="single"/>
        </w:rPr>
        <w:t xml:space="preserve">通许县城市水系综合整治工程PPP项目 </w:t>
      </w:r>
      <w:r>
        <w:rPr>
          <w:kern w:val="0"/>
          <w:sz w:val="24"/>
        </w:rPr>
        <w:t>（以下简称“本项目”）</w:t>
      </w:r>
      <w:r>
        <w:rPr>
          <w:rFonts w:hint="eastAsia"/>
          <w:kern w:val="0"/>
          <w:sz w:val="24"/>
        </w:rPr>
        <w:t>已由</w:t>
      </w:r>
      <w:r>
        <w:rPr>
          <w:rFonts w:hint="eastAsia"/>
          <w:kern w:val="0"/>
          <w:sz w:val="24"/>
          <w:u w:val="single"/>
        </w:rPr>
        <w:t xml:space="preserve"> 通政文【2018】15号文</w:t>
      </w:r>
      <w:r>
        <w:rPr>
          <w:rFonts w:hint="eastAsia"/>
          <w:kern w:val="0"/>
          <w:sz w:val="24"/>
        </w:rPr>
        <w:t>批准建设</w:t>
      </w:r>
      <w:r>
        <w:rPr>
          <w:kern w:val="0"/>
          <w:sz w:val="24"/>
        </w:rPr>
        <w:t>。</w:t>
      </w:r>
      <w:r>
        <w:rPr>
          <w:rFonts w:hint="eastAsia"/>
          <w:kern w:val="0"/>
          <w:sz w:val="24"/>
        </w:rPr>
        <w:t>本项目拟采用政府和社会资本合作（</w:t>
      </w:r>
      <w:r>
        <w:rPr>
          <w:kern w:val="0"/>
          <w:sz w:val="24"/>
        </w:rPr>
        <w:t>PPP</w:t>
      </w:r>
      <w:r>
        <w:rPr>
          <w:rFonts w:hint="eastAsia"/>
          <w:kern w:val="0"/>
          <w:sz w:val="24"/>
        </w:rPr>
        <w:t>）模式运作</w:t>
      </w:r>
      <w:r>
        <w:rPr>
          <w:kern w:val="0"/>
          <w:sz w:val="24"/>
        </w:rPr>
        <w:t>，通过引入社会资本，参与本项目的投资建设和运营。本项目已具备采购条件，</w:t>
      </w:r>
      <w:r>
        <w:rPr>
          <w:rFonts w:hint="eastAsia"/>
          <w:kern w:val="0"/>
          <w:sz w:val="24"/>
        </w:rPr>
        <w:t>通许县</w:t>
      </w:r>
      <w:r>
        <w:rPr>
          <w:kern w:val="0"/>
          <w:sz w:val="24"/>
        </w:rPr>
        <w:t>人民政府为项目发起人，授权</w:t>
      </w:r>
      <w:r>
        <w:rPr>
          <w:rFonts w:hint="eastAsia"/>
          <w:kern w:val="0"/>
          <w:sz w:val="24"/>
        </w:rPr>
        <w:t>通许县住房和城乡规划建设局</w:t>
      </w:r>
      <w:r>
        <w:rPr>
          <w:kern w:val="0"/>
          <w:sz w:val="24"/>
        </w:rPr>
        <w:t>为项目的实施机构，现委托</w:t>
      </w:r>
      <w:r>
        <w:rPr>
          <w:rFonts w:hint="eastAsia"/>
          <w:kern w:val="0"/>
          <w:sz w:val="24"/>
        </w:rPr>
        <w:t>中金泰富工程管理有限公司</w:t>
      </w:r>
      <w:r>
        <w:rPr>
          <w:kern w:val="0"/>
          <w:sz w:val="24"/>
        </w:rPr>
        <w:t>就本项目的社会资本方采购事宜进行国内公开招标资格预审，欢迎符合资格条件的申请人提交资格预审申请文件。</w:t>
      </w:r>
    </w:p>
    <w:p>
      <w:pPr>
        <w:widowControl/>
        <w:numPr>
          <w:ilvl w:val="0"/>
          <w:numId w:val="1"/>
        </w:numPr>
        <w:shd w:val="clear" w:color="auto" w:fill="FFFFFF"/>
        <w:adjustRightInd w:val="0"/>
        <w:spacing w:line="400" w:lineRule="exact"/>
        <w:jc w:val="left"/>
        <w:outlineLvl w:val="1"/>
        <w:rPr>
          <w:rFonts w:hint="eastAsia"/>
          <w:b/>
          <w:bCs/>
          <w:kern w:val="0"/>
          <w:sz w:val="24"/>
        </w:rPr>
      </w:pPr>
      <w:bookmarkStart w:id="4" w:name="_Toc14462"/>
      <w:r>
        <w:rPr>
          <w:rFonts w:hint="eastAsia"/>
          <w:b/>
          <w:bCs/>
          <w:kern w:val="0"/>
          <w:sz w:val="24"/>
        </w:rPr>
        <w:t>项目概况及采购内容</w:t>
      </w:r>
      <w:bookmarkEnd w:id="4"/>
      <w:r>
        <w:rPr>
          <w:rFonts w:hint="eastAsia"/>
          <w:b/>
          <w:bCs/>
          <w:kern w:val="0"/>
          <w:sz w:val="24"/>
        </w:rPr>
        <w:t xml:space="preserve"> </w:t>
      </w:r>
    </w:p>
    <w:p>
      <w:pPr>
        <w:widowControl/>
        <w:numPr>
          <w:ilvl w:val="0"/>
          <w:numId w:val="2"/>
        </w:numPr>
        <w:shd w:val="clear" w:color="auto" w:fill="FFFFFF"/>
        <w:adjustRightInd w:val="0"/>
        <w:spacing w:line="400" w:lineRule="exact"/>
        <w:jc w:val="left"/>
        <w:rPr>
          <w:rFonts w:hint="eastAsia"/>
          <w:b/>
          <w:bCs/>
          <w:kern w:val="0"/>
          <w:sz w:val="24"/>
        </w:rPr>
      </w:pPr>
      <w:bookmarkStart w:id="5" w:name="_Toc546"/>
      <w:r>
        <w:rPr>
          <w:rFonts w:hint="eastAsia"/>
          <w:b/>
          <w:bCs/>
          <w:kern w:val="0"/>
          <w:sz w:val="24"/>
        </w:rPr>
        <w:t>项目名称：通许县城市水系综合整治工程PPP项目</w:t>
      </w:r>
      <w:bookmarkEnd w:id="5"/>
      <w:r>
        <w:rPr>
          <w:rFonts w:hint="eastAsia"/>
          <w:b/>
          <w:bCs/>
          <w:kern w:val="0"/>
          <w:sz w:val="24"/>
        </w:rPr>
        <w:t xml:space="preserve"> </w:t>
      </w:r>
    </w:p>
    <w:p>
      <w:pPr>
        <w:widowControl/>
        <w:numPr>
          <w:ilvl w:val="0"/>
          <w:numId w:val="2"/>
        </w:numPr>
        <w:shd w:val="clear" w:color="auto" w:fill="FFFFFF"/>
        <w:adjustRightInd w:val="0"/>
        <w:spacing w:line="400" w:lineRule="exact"/>
        <w:jc w:val="left"/>
        <w:rPr>
          <w:b/>
          <w:bCs/>
          <w:kern w:val="0"/>
          <w:sz w:val="24"/>
          <w:highlight w:val="none"/>
        </w:rPr>
      </w:pPr>
      <w:bookmarkStart w:id="6" w:name="_Toc30657"/>
      <w:r>
        <w:rPr>
          <w:rFonts w:hint="eastAsia"/>
          <w:b/>
          <w:bCs/>
          <w:kern w:val="0"/>
          <w:sz w:val="24"/>
          <w:highlight w:val="none"/>
        </w:rPr>
        <w:t>项目编号：</w:t>
      </w:r>
      <w:bookmarkEnd w:id="6"/>
      <w:r>
        <w:rPr>
          <w:rFonts w:hint="eastAsia"/>
          <w:b/>
          <w:bCs/>
          <w:kern w:val="0"/>
          <w:sz w:val="24"/>
          <w:highlight w:val="none"/>
          <w:lang w:eastAsia="zh-CN"/>
        </w:rPr>
        <w:t>豫通财公开招标【</w:t>
      </w:r>
      <w:r>
        <w:rPr>
          <w:rFonts w:hint="eastAsia"/>
          <w:b/>
          <w:bCs/>
          <w:kern w:val="0"/>
          <w:sz w:val="24"/>
          <w:highlight w:val="none"/>
          <w:lang w:val="en-US" w:eastAsia="zh-CN"/>
        </w:rPr>
        <w:t>2018</w:t>
      </w:r>
      <w:r>
        <w:rPr>
          <w:rFonts w:hint="eastAsia"/>
          <w:b/>
          <w:bCs/>
          <w:kern w:val="0"/>
          <w:sz w:val="24"/>
          <w:highlight w:val="none"/>
          <w:lang w:eastAsia="zh-CN"/>
        </w:rPr>
        <w:t>】</w:t>
      </w:r>
      <w:r>
        <w:rPr>
          <w:rFonts w:hint="eastAsia"/>
          <w:b/>
          <w:bCs/>
          <w:kern w:val="0"/>
          <w:sz w:val="24"/>
          <w:highlight w:val="none"/>
          <w:lang w:val="en-US" w:eastAsia="zh-CN"/>
        </w:rPr>
        <w:t>023号</w:t>
      </w:r>
    </w:p>
    <w:p>
      <w:pPr>
        <w:widowControl/>
        <w:shd w:val="clear" w:color="auto" w:fill="FFFFFF"/>
        <w:spacing w:line="400" w:lineRule="exact"/>
        <w:rPr>
          <w:rFonts w:hint="eastAsia"/>
          <w:kern w:val="0"/>
          <w:sz w:val="24"/>
        </w:rPr>
      </w:pPr>
      <w:r>
        <w:rPr>
          <w:rFonts w:hint="eastAsia"/>
          <w:kern w:val="0"/>
          <w:sz w:val="24"/>
        </w:rPr>
        <w:t>3、项目地点：开封市通许县。</w:t>
      </w:r>
    </w:p>
    <w:p>
      <w:pPr>
        <w:widowControl/>
        <w:shd w:val="clear" w:color="auto" w:fill="FFFFFF"/>
        <w:spacing w:line="400" w:lineRule="exact"/>
        <w:rPr>
          <w:kern w:val="0"/>
          <w:sz w:val="24"/>
        </w:rPr>
      </w:pPr>
      <w:r>
        <w:rPr>
          <w:rFonts w:hint="eastAsia"/>
          <w:kern w:val="0"/>
          <w:sz w:val="24"/>
        </w:rPr>
        <w:t>4、项目建设规模及内容：本建设内容主要为老城区护城河综合治理、涡河西支二期提升工程、咸平公园提升工程。其中涉及的两条河道治理总长度为6.47km，其中老城区护城河4km、涡河西支2.47km；咸平公园提升工程总占地900亩，其中，中心湖区400亩，周边绿化及硬质铺装面积约500亩。</w:t>
      </w:r>
    </w:p>
    <w:p>
      <w:pPr>
        <w:widowControl/>
        <w:shd w:val="clear" w:color="auto" w:fill="FFFFFF"/>
        <w:spacing w:line="400" w:lineRule="exact"/>
        <w:ind w:firstLine="480" w:firstLineChars="200"/>
        <w:rPr>
          <w:rFonts w:hint="eastAsia"/>
          <w:kern w:val="0"/>
          <w:sz w:val="24"/>
        </w:rPr>
      </w:pPr>
      <w:bookmarkStart w:id="7" w:name="_Hlk490951870"/>
      <w:r>
        <w:rPr>
          <w:rFonts w:hint="eastAsia"/>
          <w:kern w:val="0"/>
          <w:sz w:val="24"/>
        </w:rPr>
        <w:t>项目总投资13462.2万元，包括建设投资（不含建设期利息）12848.7万元和建设期利息613.4万元。其中建设投资包含工程费用8172.5万元，工程建设其他费4302.0万元（含3650万元征地拆迁费用），预备费374.2万元。</w:t>
      </w:r>
    </w:p>
    <w:p>
      <w:pPr>
        <w:widowControl/>
        <w:shd w:val="clear" w:color="auto" w:fill="FFFFFF"/>
        <w:spacing w:line="400" w:lineRule="exact"/>
        <w:ind w:firstLine="480" w:firstLineChars="200"/>
        <w:rPr>
          <w:kern w:val="0"/>
          <w:sz w:val="24"/>
        </w:rPr>
      </w:pPr>
      <w:r>
        <w:rPr>
          <w:kern w:val="0"/>
          <w:sz w:val="24"/>
        </w:rPr>
        <w:t>项目总投资具体构成如下。</w:t>
      </w:r>
    </w:p>
    <w:p>
      <w:pPr>
        <w:widowControl/>
        <w:shd w:val="clear" w:color="auto" w:fill="FFFFFF"/>
        <w:spacing w:line="400" w:lineRule="exact"/>
        <w:ind w:firstLine="440" w:firstLineChars="200"/>
        <w:jc w:val="center"/>
        <w:rPr>
          <w:b/>
          <w:sz w:val="18"/>
        </w:rPr>
      </w:pPr>
      <w:r>
        <w:rPr>
          <w:sz w:val="22"/>
          <w:szCs w:val="28"/>
        </w:rPr>
        <w:t>表1项目总投资构成表</w:t>
      </w:r>
      <w:r>
        <w:rPr>
          <w:rFonts w:hint="eastAsia"/>
          <w:sz w:val="22"/>
          <w:szCs w:val="28"/>
        </w:rPr>
        <w:t>（单位：万元</w:t>
      </w:r>
      <w:r>
        <w:rPr>
          <w:rFonts w:hint="eastAsia"/>
        </w:rPr>
        <w:t>）</w:t>
      </w:r>
    </w:p>
    <w:tbl>
      <w:tblPr>
        <w:tblStyle w:val="7"/>
        <w:tblW w:w="935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407"/>
        <w:gridCol w:w="1651"/>
        <w:gridCol w:w="1316"/>
        <w:gridCol w:w="1315"/>
        <w:gridCol w:w="1316"/>
        <w:gridCol w:w="13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6" w:hRule="exact"/>
        </w:trPr>
        <w:tc>
          <w:tcPr>
            <w:tcW w:w="1035" w:type="dxa"/>
            <w:vAlign w:val="center"/>
          </w:tcPr>
          <w:p>
            <w:pPr>
              <w:spacing w:line="400" w:lineRule="exact"/>
              <w:rPr>
                <w:b/>
                <w:color w:val="000000"/>
                <w:szCs w:val="21"/>
              </w:rPr>
            </w:pPr>
            <w:r>
              <w:rPr>
                <w:b/>
                <w:color w:val="000000"/>
                <w:szCs w:val="21"/>
              </w:rPr>
              <w:t>序号</w:t>
            </w:r>
          </w:p>
        </w:tc>
        <w:tc>
          <w:tcPr>
            <w:tcW w:w="1407" w:type="dxa"/>
            <w:vAlign w:val="center"/>
          </w:tcPr>
          <w:p>
            <w:pPr>
              <w:spacing w:line="400" w:lineRule="exact"/>
              <w:jc w:val="center"/>
              <w:rPr>
                <w:b/>
                <w:color w:val="000000"/>
                <w:szCs w:val="21"/>
              </w:rPr>
            </w:pPr>
            <w:r>
              <w:rPr>
                <w:b/>
                <w:color w:val="000000"/>
                <w:szCs w:val="21"/>
              </w:rPr>
              <w:t>名称</w:t>
            </w:r>
          </w:p>
        </w:tc>
        <w:tc>
          <w:tcPr>
            <w:tcW w:w="1651" w:type="dxa"/>
            <w:vAlign w:val="center"/>
          </w:tcPr>
          <w:p>
            <w:pPr>
              <w:spacing w:line="400" w:lineRule="exact"/>
              <w:jc w:val="center"/>
              <w:rPr>
                <w:b/>
                <w:color w:val="000000"/>
                <w:szCs w:val="21"/>
              </w:rPr>
            </w:pPr>
            <w:r>
              <w:rPr>
                <w:b/>
                <w:color w:val="000000"/>
                <w:szCs w:val="21"/>
              </w:rPr>
              <w:t>老城区护城河综合治理工程</w:t>
            </w:r>
          </w:p>
        </w:tc>
        <w:tc>
          <w:tcPr>
            <w:tcW w:w="1316" w:type="dxa"/>
            <w:vAlign w:val="center"/>
          </w:tcPr>
          <w:p>
            <w:pPr>
              <w:spacing w:line="400" w:lineRule="exact"/>
              <w:jc w:val="center"/>
              <w:rPr>
                <w:b/>
                <w:color w:val="000000"/>
                <w:szCs w:val="21"/>
              </w:rPr>
            </w:pPr>
            <w:r>
              <w:rPr>
                <w:b/>
                <w:color w:val="000000"/>
                <w:szCs w:val="21"/>
              </w:rPr>
              <w:t>涡河西支二期提升工程</w:t>
            </w:r>
          </w:p>
        </w:tc>
        <w:tc>
          <w:tcPr>
            <w:tcW w:w="1315" w:type="dxa"/>
            <w:vAlign w:val="center"/>
          </w:tcPr>
          <w:p>
            <w:pPr>
              <w:spacing w:line="400" w:lineRule="exact"/>
              <w:jc w:val="center"/>
              <w:rPr>
                <w:b/>
                <w:color w:val="000000"/>
                <w:szCs w:val="21"/>
              </w:rPr>
            </w:pPr>
            <w:r>
              <w:rPr>
                <w:b/>
                <w:color w:val="000000"/>
                <w:szCs w:val="21"/>
              </w:rPr>
              <w:t>咸平公园提升工程</w:t>
            </w:r>
          </w:p>
        </w:tc>
        <w:tc>
          <w:tcPr>
            <w:tcW w:w="1316" w:type="dxa"/>
            <w:vAlign w:val="center"/>
          </w:tcPr>
          <w:p>
            <w:pPr>
              <w:spacing w:line="400" w:lineRule="exact"/>
              <w:jc w:val="center"/>
              <w:rPr>
                <w:b/>
                <w:color w:val="000000"/>
                <w:szCs w:val="21"/>
              </w:rPr>
            </w:pPr>
            <w:r>
              <w:rPr>
                <w:b/>
                <w:color w:val="000000"/>
                <w:szCs w:val="21"/>
              </w:rPr>
              <w:t>合计</w:t>
            </w:r>
          </w:p>
        </w:tc>
        <w:tc>
          <w:tcPr>
            <w:tcW w:w="1316" w:type="dxa"/>
            <w:vAlign w:val="center"/>
          </w:tcPr>
          <w:p>
            <w:pPr>
              <w:spacing w:line="400" w:lineRule="exact"/>
              <w:jc w:val="center"/>
              <w:rPr>
                <w:b/>
                <w:color w:val="000000"/>
                <w:szCs w:val="21"/>
              </w:rPr>
            </w:pPr>
            <w:r>
              <w:rPr>
                <w:b/>
                <w:color w:val="000000"/>
                <w:szCs w:val="21"/>
              </w:rPr>
              <w:t>占比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1035" w:type="dxa"/>
            <w:vAlign w:val="center"/>
          </w:tcPr>
          <w:p>
            <w:pPr>
              <w:spacing w:line="400" w:lineRule="exact"/>
              <w:jc w:val="center"/>
              <w:rPr>
                <w:color w:val="000000"/>
                <w:szCs w:val="21"/>
              </w:rPr>
            </w:pPr>
            <w:r>
              <w:rPr>
                <w:color w:val="000000"/>
                <w:szCs w:val="21"/>
              </w:rPr>
              <w:t>一</w:t>
            </w:r>
          </w:p>
        </w:tc>
        <w:tc>
          <w:tcPr>
            <w:tcW w:w="1407" w:type="dxa"/>
            <w:vAlign w:val="center"/>
          </w:tcPr>
          <w:p>
            <w:pPr>
              <w:spacing w:line="400" w:lineRule="exact"/>
              <w:jc w:val="center"/>
              <w:rPr>
                <w:color w:val="000000"/>
                <w:szCs w:val="21"/>
              </w:rPr>
            </w:pPr>
            <w:r>
              <w:rPr>
                <w:color w:val="000000"/>
                <w:szCs w:val="21"/>
              </w:rPr>
              <w:t>建设投资</w:t>
            </w:r>
          </w:p>
        </w:tc>
        <w:tc>
          <w:tcPr>
            <w:tcW w:w="1651" w:type="dxa"/>
            <w:vAlign w:val="center"/>
          </w:tcPr>
          <w:p>
            <w:pPr>
              <w:spacing w:line="400" w:lineRule="exact"/>
              <w:jc w:val="center"/>
              <w:rPr>
                <w:color w:val="000000"/>
                <w:szCs w:val="21"/>
              </w:rPr>
            </w:pPr>
            <w:r>
              <w:rPr>
                <w:color w:val="000000"/>
                <w:szCs w:val="21"/>
              </w:rPr>
              <w:t xml:space="preserve">7511.3 </w:t>
            </w:r>
          </w:p>
        </w:tc>
        <w:tc>
          <w:tcPr>
            <w:tcW w:w="1316" w:type="dxa"/>
            <w:vAlign w:val="center"/>
          </w:tcPr>
          <w:p>
            <w:pPr>
              <w:spacing w:line="400" w:lineRule="exact"/>
              <w:jc w:val="center"/>
              <w:rPr>
                <w:color w:val="000000"/>
                <w:szCs w:val="21"/>
              </w:rPr>
            </w:pPr>
            <w:r>
              <w:rPr>
                <w:color w:val="000000"/>
                <w:szCs w:val="21"/>
              </w:rPr>
              <w:t xml:space="preserve">2490.5 </w:t>
            </w:r>
          </w:p>
        </w:tc>
        <w:tc>
          <w:tcPr>
            <w:tcW w:w="1315" w:type="dxa"/>
            <w:vAlign w:val="center"/>
          </w:tcPr>
          <w:p>
            <w:pPr>
              <w:spacing w:line="400" w:lineRule="exact"/>
              <w:jc w:val="center"/>
              <w:rPr>
                <w:color w:val="000000"/>
                <w:szCs w:val="21"/>
              </w:rPr>
            </w:pPr>
            <w:r>
              <w:rPr>
                <w:color w:val="000000"/>
                <w:szCs w:val="21"/>
              </w:rPr>
              <w:t xml:space="preserve">2846.9 </w:t>
            </w:r>
          </w:p>
        </w:tc>
        <w:tc>
          <w:tcPr>
            <w:tcW w:w="1316" w:type="dxa"/>
            <w:vAlign w:val="center"/>
          </w:tcPr>
          <w:p>
            <w:pPr>
              <w:spacing w:line="400" w:lineRule="exact"/>
              <w:jc w:val="center"/>
              <w:rPr>
                <w:color w:val="000000"/>
                <w:szCs w:val="21"/>
              </w:rPr>
            </w:pPr>
            <w:r>
              <w:rPr>
                <w:color w:val="000000"/>
                <w:szCs w:val="21"/>
              </w:rPr>
              <w:t xml:space="preserve">12848.7 </w:t>
            </w:r>
          </w:p>
        </w:tc>
        <w:tc>
          <w:tcPr>
            <w:tcW w:w="1316" w:type="dxa"/>
            <w:vAlign w:val="center"/>
          </w:tcPr>
          <w:p>
            <w:pPr>
              <w:spacing w:line="400" w:lineRule="exact"/>
              <w:jc w:val="center"/>
              <w:rPr>
                <w:color w:val="000000"/>
                <w:szCs w:val="21"/>
              </w:rPr>
            </w:pPr>
            <w:r>
              <w:rPr>
                <w:color w:val="000000"/>
                <w:szCs w:val="21"/>
              </w:rPr>
              <w:t>95.44%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1035" w:type="dxa"/>
            <w:vAlign w:val="center"/>
          </w:tcPr>
          <w:p>
            <w:pPr>
              <w:spacing w:line="400" w:lineRule="exact"/>
              <w:jc w:val="center"/>
              <w:rPr>
                <w:rFonts w:eastAsia="等线"/>
                <w:color w:val="000000"/>
                <w:szCs w:val="21"/>
              </w:rPr>
            </w:pPr>
            <w:r>
              <w:rPr>
                <w:rFonts w:eastAsia="等线"/>
                <w:color w:val="000000"/>
                <w:szCs w:val="21"/>
              </w:rPr>
              <w:t>1</w:t>
            </w:r>
          </w:p>
        </w:tc>
        <w:tc>
          <w:tcPr>
            <w:tcW w:w="1407" w:type="dxa"/>
            <w:vAlign w:val="center"/>
          </w:tcPr>
          <w:p>
            <w:pPr>
              <w:spacing w:line="400" w:lineRule="exact"/>
              <w:jc w:val="center"/>
              <w:rPr>
                <w:color w:val="000000"/>
                <w:szCs w:val="21"/>
              </w:rPr>
            </w:pPr>
            <w:r>
              <w:rPr>
                <w:color w:val="000000"/>
                <w:szCs w:val="21"/>
              </w:rPr>
              <w:t>工程费用</w:t>
            </w:r>
          </w:p>
        </w:tc>
        <w:tc>
          <w:tcPr>
            <w:tcW w:w="1651" w:type="dxa"/>
            <w:vAlign w:val="center"/>
          </w:tcPr>
          <w:p>
            <w:pPr>
              <w:spacing w:line="400" w:lineRule="exact"/>
              <w:jc w:val="center"/>
              <w:rPr>
                <w:color w:val="000000"/>
                <w:szCs w:val="21"/>
              </w:rPr>
            </w:pPr>
            <w:r>
              <w:rPr>
                <w:color w:val="000000"/>
                <w:szCs w:val="21"/>
              </w:rPr>
              <w:t xml:space="preserve">3372.5 </w:t>
            </w:r>
          </w:p>
        </w:tc>
        <w:tc>
          <w:tcPr>
            <w:tcW w:w="1316" w:type="dxa"/>
            <w:vAlign w:val="center"/>
          </w:tcPr>
          <w:p>
            <w:pPr>
              <w:spacing w:line="400" w:lineRule="exact"/>
              <w:jc w:val="center"/>
              <w:rPr>
                <w:color w:val="000000"/>
                <w:szCs w:val="21"/>
              </w:rPr>
            </w:pPr>
            <w:r>
              <w:rPr>
                <w:color w:val="000000"/>
                <w:szCs w:val="21"/>
              </w:rPr>
              <w:t xml:space="preserve">2240.0 </w:t>
            </w:r>
          </w:p>
        </w:tc>
        <w:tc>
          <w:tcPr>
            <w:tcW w:w="1315" w:type="dxa"/>
            <w:vAlign w:val="center"/>
          </w:tcPr>
          <w:p>
            <w:pPr>
              <w:spacing w:line="400" w:lineRule="exact"/>
              <w:jc w:val="center"/>
              <w:rPr>
                <w:color w:val="000000"/>
                <w:szCs w:val="21"/>
              </w:rPr>
            </w:pPr>
            <w:r>
              <w:rPr>
                <w:color w:val="000000"/>
                <w:szCs w:val="21"/>
              </w:rPr>
              <w:t xml:space="preserve">2560.0 </w:t>
            </w:r>
          </w:p>
        </w:tc>
        <w:tc>
          <w:tcPr>
            <w:tcW w:w="1316" w:type="dxa"/>
            <w:vAlign w:val="center"/>
          </w:tcPr>
          <w:p>
            <w:pPr>
              <w:spacing w:line="400" w:lineRule="exact"/>
              <w:jc w:val="center"/>
              <w:rPr>
                <w:color w:val="000000"/>
                <w:szCs w:val="21"/>
              </w:rPr>
            </w:pPr>
            <w:r>
              <w:rPr>
                <w:color w:val="000000"/>
                <w:szCs w:val="21"/>
              </w:rPr>
              <w:t>8172.5</w:t>
            </w:r>
          </w:p>
        </w:tc>
        <w:tc>
          <w:tcPr>
            <w:tcW w:w="1316" w:type="dxa"/>
            <w:vAlign w:val="center"/>
          </w:tcPr>
          <w:p>
            <w:pPr>
              <w:spacing w:line="400" w:lineRule="exact"/>
              <w:jc w:val="center"/>
              <w:rPr>
                <w:color w:val="000000"/>
                <w:szCs w:val="21"/>
              </w:rPr>
            </w:pPr>
            <w:r>
              <w:rPr>
                <w:color w:val="000000"/>
                <w:szCs w:val="21"/>
              </w:rPr>
              <w:t>60.71%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3" w:hRule="exact"/>
        </w:trPr>
        <w:tc>
          <w:tcPr>
            <w:tcW w:w="1035" w:type="dxa"/>
            <w:vAlign w:val="center"/>
          </w:tcPr>
          <w:p>
            <w:pPr>
              <w:spacing w:line="400" w:lineRule="exact"/>
              <w:jc w:val="center"/>
              <w:rPr>
                <w:rFonts w:eastAsia="等线"/>
                <w:color w:val="000000"/>
                <w:szCs w:val="21"/>
              </w:rPr>
            </w:pPr>
            <w:r>
              <w:rPr>
                <w:rFonts w:eastAsia="等线"/>
                <w:color w:val="000000"/>
                <w:szCs w:val="21"/>
              </w:rPr>
              <w:t>2</w:t>
            </w:r>
          </w:p>
        </w:tc>
        <w:tc>
          <w:tcPr>
            <w:tcW w:w="1407" w:type="dxa"/>
            <w:vAlign w:val="center"/>
          </w:tcPr>
          <w:p>
            <w:pPr>
              <w:spacing w:line="400" w:lineRule="exact"/>
              <w:jc w:val="center"/>
              <w:rPr>
                <w:color w:val="000000"/>
                <w:szCs w:val="21"/>
              </w:rPr>
            </w:pPr>
            <w:r>
              <w:rPr>
                <w:color w:val="000000"/>
                <w:szCs w:val="21"/>
              </w:rPr>
              <w:t>工程建设其他费用</w:t>
            </w:r>
          </w:p>
        </w:tc>
        <w:tc>
          <w:tcPr>
            <w:tcW w:w="1651" w:type="dxa"/>
            <w:vAlign w:val="center"/>
          </w:tcPr>
          <w:p>
            <w:pPr>
              <w:spacing w:line="400" w:lineRule="exact"/>
              <w:jc w:val="center"/>
              <w:rPr>
                <w:color w:val="000000"/>
                <w:szCs w:val="21"/>
              </w:rPr>
            </w:pPr>
            <w:r>
              <w:rPr>
                <w:color w:val="000000"/>
                <w:szCs w:val="21"/>
              </w:rPr>
              <w:t xml:space="preserve">3920.0 </w:t>
            </w:r>
          </w:p>
        </w:tc>
        <w:tc>
          <w:tcPr>
            <w:tcW w:w="1316" w:type="dxa"/>
            <w:vAlign w:val="center"/>
          </w:tcPr>
          <w:p>
            <w:pPr>
              <w:spacing w:line="400" w:lineRule="exact"/>
              <w:jc w:val="center"/>
              <w:rPr>
                <w:color w:val="000000"/>
                <w:szCs w:val="21"/>
              </w:rPr>
            </w:pPr>
            <w:r>
              <w:rPr>
                <w:color w:val="000000"/>
                <w:szCs w:val="21"/>
              </w:rPr>
              <w:t xml:space="preserve">178.0 </w:t>
            </w:r>
          </w:p>
        </w:tc>
        <w:tc>
          <w:tcPr>
            <w:tcW w:w="1315" w:type="dxa"/>
            <w:vAlign w:val="center"/>
          </w:tcPr>
          <w:p>
            <w:pPr>
              <w:spacing w:line="400" w:lineRule="exact"/>
              <w:jc w:val="center"/>
              <w:rPr>
                <w:color w:val="000000"/>
                <w:szCs w:val="21"/>
              </w:rPr>
            </w:pPr>
            <w:r>
              <w:rPr>
                <w:color w:val="000000"/>
                <w:szCs w:val="21"/>
              </w:rPr>
              <w:t xml:space="preserve">204.0 </w:t>
            </w:r>
          </w:p>
        </w:tc>
        <w:tc>
          <w:tcPr>
            <w:tcW w:w="1316" w:type="dxa"/>
            <w:vAlign w:val="center"/>
          </w:tcPr>
          <w:p>
            <w:pPr>
              <w:spacing w:line="400" w:lineRule="exact"/>
              <w:jc w:val="center"/>
              <w:rPr>
                <w:color w:val="000000"/>
                <w:szCs w:val="21"/>
              </w:rPr>
            </w:pPr>
            <w:r>
              <w:rPr>
                <w:color w:val="000000"/>
                <w:szCs w:val="21"/>
              </w:rPr>
              <w:t xml:space="preserve">4302.0 </w:t>
            </w:r>
          </w:p>
        </w:tc>
        <w:tc>
          <w:tcPr>
            <w:tcW w:w="1316" w:type="dxa"/>
            <w:vAlign w:val="center"/>
          </w:tcPr>
          <w:p>
            <w:pPr>
              <w:spacing w:line="400" w:lineRule="exact"/>
              <w:jc w:val="center"/>
              <w:rPr>
                <w:color w:val="000000"/>
                <w:szCs w:val="21"/>
              </w:rPr>
            </w:pPr>
            <w:r>
              <w:rPr>
                <w:color w:val="000000"/>
                <w:szCs w:val="21"/>
              </w:rPr>
              <w:t>31.96%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6" w:hRule="exact"/>
        </w:trPr>
        <w:tc>
          <w:tcPr>
            <w:tcW w:w="1035" w:type="dxa"/>
            <w:vAlign w:val="center"/>
          </w:tcPr>
          <w:p>
            <w:pPr>
              <w:spacing w:line="400" w:lineRule="exact"/>
              <w:jc w:val="center"/>
              <w:rPr>
                <w:rFonts w:eastAsia="等线"/>
                <w:color w:val="000000"/>
                <w:szCs w:val="21"/>
              </w:rPr>
            </w:pPr>
            <w:r>
              <w:rPr>
                <w:rFonts w:eastAsia="等线"/>
                <w:color w:val="000000"/>
                <w:szCs w:val="21"/>
              </w:rPr>
              <w:t>2.1</w:t>
            </w:r>
          </w:p>
        </w:tc>
        <w:tc>
          <w:tcPr>
            <w:tcW w:w="1407" w:type="dxa"/>
            <w:vAlign w:val="center"/>
          </w:tcPr>
          <w:p>
            <w:pPr>
              <w:spacing w:line="400" w:lineRule="exact"/>
              <w:jc w:val="center"/>
              <w:rPr>
                <w:color w:val="000000"/>
                <w:szCs w:val="21"/>
              </w:rPr>
            </w:pPr>
            <w:r>
              <w:rPr>
                <w:color w:val="000000"/>
                <w:szCs w:val="21"/>
              </w:rPr>
              <w:t>其中，征地拆迁费</w:t>
            </w:r>
          </w:p>
        </w:tc>
        <w:tc>
          <w:tcPr>
            <w:tcW w:w="1651" w:type="dxa"/>
            <w:vAlign w:val="center"/>
          </w:tcPr>
          <w:p>
            <w:pPr>
              <w:spacing w:line="400" w:lineRule="exact"/>
              <w:jc w:val="center"/>
              <w:rPr>
                <w:color w:val="000000"/>
                <w:szCs w:val="21"/>
              </w:rPr>
            </w:pPr>
            <w:r>
              <w:rPr>
                <w:color w:val="000000"/>
                <w:szCs w:val="21"/>
              </w:rPr>
              <w:t xml:space="preserve">3650.0 </w:t>
            </w:r>
          </w:p>
        </w:tc>
        <w:tc>
          <w:tcPr>
            <w:tcW w:w="1316" w:type="dxa"/>
            <w:vAlign w:val="center"/>
          </w:tcPr>
          <w:p>
            <w:pPr>
              <w:spacing w:line="400" w:lineRule="exact"/>
              <w:jc w:val="center"/>
              <w:rPr>
                <w:color w:val="000000"/>
                <w:szCs w:val="21"/>
              </w:rPr>
            </w:pPr>
            <w:r>
              <w:rPr>
                <w:color w:val="000000"/>
                <w:szCs w:val="21"/>
              </w:rPr>
              <w:t xml:space="preserve">0.0 </w:t>
            </w:r>
          </w:p>
        </w:tc>
        <w:tc>
          <w:tcPr>
            <w:tcW w:w="1315" w:type="dxa"/>
            <w:vAlign w:val="center"/>
          </w:tcPr>
          <w:p>
            <w:pPr>
              <w:spacing w:line="400" w:lineRule="exact"/>
              <w:jc w:val="center"/>
              <w:rPr>
                <w:color w:val="000000"/>
                <w:szCs w:val="21"/>
              </w:rPr>
            </w:pPr>
            <w:r>
              <w:rPr>
                <w:color w:val="000000"/>
                <w:szCs w:val="21"/>
              </w:rPr>
              <w:t xml:space="preserve">0.0 </w:t>
            </w:r>
          </w:p>
        </w:tc>
        <w:tc>
          <w:tcPr>
            <w:tcW w:w="1316" w:type="dxa"/>
            <w:vAlign w:val="center"/>
          </w:tcPr>
          <w:p>
            <w:pPr>
              <w:spacing w:line="400" w:lineRule="exact"/>
              <w:jc w:val="center"/>
              <w:rPr>
                <w:color w:val="000000"/>
                <w:szCs w:val="21"/>
              </w:rPr>
            </w:pPr>
            <w:r>
              <w:rPr>
                <w:color w:val="000000"/>
                <w:szCs w:val="21"/>
              </w:rPr>
              <w:t xml:space="preserve">3650.0 </w:t>
            </w:r>
          </w:p>
        </w:tc>
        <w:tc>
          <w:tcPr>
            <w:tcW w:w="1316" w:type="dxa"/>
            <w:vAlign w:val="center"/>
          </w:tcPr>
          <w:p>
            <w:pPr>
              <w:spacing w:line="400" w:lineRule="exact"/>
              <w:jc w:val="center"/>
              <w:rPr>
                <w:color w:val="000000"/>
                <w:szCs w:val="21"/>
              </w:rPr>
            </w:pPr>
            <w:r>
              <w:rPr>
                <w:color w:val="000000"/>
                <w:szCs w:val="21"/>
              </w:rPr>
              <w:t>27.11%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1035" w:type="dxa"/>
            <w:vAlign w:val="center"/>
          </w:tcPr>
          <w:p>
            <w:pPr>
              <w:spacing w:line="400" w:lineRule="exact"/>
              <w:jc w:val="center"/>
              <w:rPr>
                <w:rFonts w:eastAsia="等线"/>
                <w:color w:val="000000"/>
                <w:szCs w:val="21"/>
              </w:rPr>
            </w:pPr>
            <w:r>
              <w:rPr>
                <w:rFonts w:eastAsia="等线"/>
                <w:color w:val="000000"/>
                <w:szCs w:val="21"/>
              </w:rPr>
              <w:t>3</w:t>
            </w:r>
          </w:p>
        </w:tc>
        <w:tc>
          <w:tcPr>
            <w:tcW w:w="1407" w:type="dxa"/>
            <w:vAlign w:val="center"/>
          </w:tcPr>
          <w:p>
            <w:pPr>
              <w:spacing w:line="400" w:lineRule="exact"/>
              <w:jc w:val="center"/>
              <w:rPr>
                <w:color w:val="000000"/>
                <w:szCs w:val="21"/>
              </w:rPr>
            </w:pPr>
            <w:r>
              <w:rPr>
                <w:color w:val="000000"/>
                <w:szCs w:val="21"/>
              </w:rPr>
              <w:t>预备费</w:t>
            </w:r>
          </w:p>
        </w:tc>
        <w:tc>
          <w:tcPr>
            <w:tcW w:w="1651" w:type="dxa"/>
            <w:vAlign w:val="center"/>
          </w:tcPr>
          <w:p>
            <w:pPr>
              <w:spacing w:line="400" w:lineRule="exact"/>
              <w:jc w:val="center"/>
              <w:rPr>
                <w:color w:val="000000"/>
                <w:szCs w:val="21"/>
              </w:rPr>
            </w:pPr>
            <w:r>
              <w:rPr>
                <w:color w:val="000000"/>
                <w:szCs w:val="21"/>
              </w:rPr>
              <w:t xml:space="preserve">218.8 </w:t>
            </w:r>
          </w:p>
        </w:tc>
        <w:tc>
          <w:tcPr>
            <w:tcW w:w="1316" w:type="dxa"/>
            <w:vAlign w:val="center"/>
          </w:tcPr>
          <w:p>
            <w:pPr>
              <w:spacing w:line="400" w:lineRule="exact"/>
              <w:jc w:val="center"/>
              <w:rPr>
                <w:color w:val="000000"/>
                <w:szCs w:val="21"/>
              </w:rPr>
            </w:pPr>
            <w:r>
              <w:rPr>
                <w:color w:val="000000"/>
                <w:szCs w:val="21"/>
              </w:rPr>
              <w:t xml:space="preserve">72.5 </w:t>
            </w:r>
          </w:p>
        </w:tc>
        <w:tc>
          <w:tcPr>
            <w:tcW w:w="1315" w:type="dxa"/>
            <w:vAlign w:val="center"/>
          </w:tcPr>
          <w:p>
            <w:pPr>
              <w:spacing w:line="400" w:lineRule="exact"/>
              <w:jc w:val="center"/>
              <w:rPr>
                <w:color w:val="000000"/>
                <w:szCs w:val="21"/>
              </w:rPr>
            </w:pPr>
            <w:r>
              <w:rPr>
                <w:color w:val="000000"/>
                <w:szCs w:val="21"/>
              </w:rPr>
              <w:t xml:space="preserve">82.9 </w:t>
            </w:r>
          </w:p>
        </w:tc>
        <w:tc>
          <w:tcPr>
            <w:tcW w:w="1316" w:type="dxa"/>
            <w:vAlign w:val="center"/>
          </w:tcPr>
          <w:p>
            <w:pPr>
              <w:spacing w:line="400" w:lineRule="exact"/>
              <w:jc w:val="center"/>
              <w:rPr>
                <w:color w:val="000000"/>
                <w:szCs w:val="21"/>
              </w:rPr>
            </w:pPr>
            <w:r>
              <w:rPr>
                <w:color w:val="000000"/>
                <w:szCs w:val="21"/>
              </w:rPr>
              <w:t xml:space="preserve">374.2 </w:t>
            </w:r>
          </w:p>
        </w:tc>
        <w:tc>
          <w:tcPr>
            <w:tcW w:w="1316" w:type="dxa"/>
            <w:vAlign w:val="center"/>
          </w:tcPr>
          <w:p>
            <w:pPr>
              <w:spacing w:line="400" w:lineRule="exact"/>
              <w:jc w:val="center"/>
              <w:rPr>
                <w:color w:val="000000"/>
                <w:szCs w:val="21"/>
              </w:rPr>
            </w:pPr>
            <w:r>
              <w:rPr>
                <w:color w:val="000000"/>
                <w:szCs w:val="21"/>
              </w:rPr>
              <w:t>2.78%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1035" w:type="dxa"/>
            <w:vAlign w:val="center"/>
          </w:tcPr>
          <w:p>
            <w:pPr>
              <w:spacing w:line="400" w:lineRule="exact"/>
              <w:jc w:val="center"/>
              <w:rPr>
                <w:color w:val="000000"/>
                <w:szCs w:val="21"/>
              </w:rPr>
            </w:pPr>
            <w:r>
              <w:rPr>
                <w:color w:val="000000"/>
                <w:szCs w:val="21"/>
              </w:rPr>
              <w:t>二</w:t>
            </w:r>
          </w:p>
        </w:tc>
        <w:tc>
          <w:tcPr>
            <w:tcW w:w="1407" w:type="dxa"/>
            <w:vAlign w:val="center"/>
          </w:tcPr>
          <w:p>
            <w:pPr>
              <w:spacing w:line="400" w:lineRule="exact"/>
              <w:jc w:val="center"/>
              <w:rPr>
                <w:color w:val="000000"/>
                <w:szCs w:val="21"/>
              </w:rPr>
            </w:pPr>
            <w:r>
              <w:rPr>
                <w:color w:val="000000"/>
                <w:szCs w:val="21"/>
              </w:rPr>
              <w:t>建设期利息</w:t>
            </w:r>
          </w:p>
        </w:tc>
        <w:tc>
          <w:tcPr>
            <w:tcW w:w="1651" w:type="dxa"/>
            <w:vAlign w:val="center"/>
          </w:tcPr>
          <w:p>
            <w:pPr>
              <w:spacing w:line="400" w:lineRule="exact"/>
              <w:jc w:val="center"/>
              <w:rPr>
                <w:color w:val="000000"/>
                <w:szCs w:val="21"/>
              </w:rPr>
            </w:pPr>
            <w:r>
              <w:rPr>
                <w:color w:val="000000"/>
                <w:szCs w:val="21"/>
              </w:rPr>
              <w:t xml:space="preserve">358.6 </w:t>
            </w:r>
          </w:p>
        </w:tc>
        <w:tc>
          <w:tcPr>
            <w:tcW w:w="1316" w:type="dxa"/>
            <w:vAlign w:val="center"/>
          </w:tcPr>
          <w:p>
            <w:pPr>
              <w:spacing w:line="400" w:lineRule="exact"/>
              <w:jc w:val="center"/>
              <w:rPr>
                <w:color w:val="000000"/>
                <w:szCs w:val="21"/>
              </w:rPr>
            </w:pPr>
            <w:r>
              <w:rPr>
                <w:color w:val="000000"/>
                <w:szCs w:val="21"/>
              </w:rPr>
              <w:t xml:space="preserve">118.9 </w:t>
            </w:r>
          </w:p>
        </w:tc>
        <w:tc>
          <w:tcPr>
            <w:tcW w:w="1315" w:type="dxa"/>
            <w:vAlign w:val="center"/>
          </w:tcPr>
          <w:p>
            <w:pPr>
              <w:spacing w:line="400" w:lineRule="exact"/>
              <w:jc w:val="center"/>
              <w:rPr>
                <w:color w:val="000000"/>
                <w:szCs w:val="21"/>
              </w:rPr>
            </w:pPr>
            <w:r>
              <w:rPr>
                <w:color w:val="000000"/>
                <w:szCs w:val="21"/>
              </w:rPr>
              <w:t xml:space="preserve">135.9 </w:t>
            </w:r>
          </w:p>
        </w:tc>
        <w:tc>
          <w:tcPr>
            <w:tcW w:w="1316" w:type="dxa"/>
            <w:vAlign w:val="center"/>
          </w:tcPr>
          <w:p>
            <w:pPr>
              <w:spacing w:line="400" w:lineRule="exact"/>
              <w:jc w:val="center"/>
              <w:rPr>
                <w:color w:val="000000"/>
                <w:szCs w:val="21"/>
              </w:rPr>
            </w:pPr>
            <w:r>
              <w:rPr>
                <w:color w:val="000000"/>
                <w:szCs w:val="21"/>
              </w:rPr>
              <w:t xml:space="preserve">613.4 </w:t>
            </w:r>
          </w:p>
        </w:tc>
        <w:tc>
          <w:tcPr>
            <w:tcW w:w="1316" w:type="dxa"/>
            <w:vAlign w:val="center"/>
          </w:tcPr>
          <w:p>
            <w:pPr>
              <w:spacing w:line="400" w:lineRule="exact"/>
              <w:jc w:val="center"/>
              <w:rPr>
                <w:color w:val="000000"/>
                <w:szCs w:val="21"/>
              </w:rPr>
            </w:pPr>
            <w:r>
              <w:rPr>
                <w:color w:val="000000"/>
                <w:szCs w:val="21"/>
              </w:rPr>
              <w:t>4.56%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1035" w:type="dxa"/>
            <w:vAlign w:val="center"/>
          </w:tcPr>
          <w:p>
            <w:pPr>
              <w:spacing w:line="400" w:lineRule="exact"/>
              <w:jc w:val="center"/>
              <w:rPr>
                <w:rFonts w:eastAsia="等线"/>
                <w:color w:val="000000"/>
                <w:szCs w:val="21"/>
              </w:rPr>
            </w:pPr>
            <w:r>
              <w:rPr>
                <w:rFonts w:eastAsia="等线"/>
                <w:color w:val="000000"/>
                <w:szCs w:val="21"/>
              </w:rPr>
              <w:t>*</w:t>
            </w:r>
          </w:p>
        </w:tc>
        <w:tc>
          <w:tcPr>
            <w:tcW w:w="1407" w:type="dxa"/>
            <w:vAlign w:val="center"/>
          </w:tcPr>
          <w:p>
            <w:pPr>
              <w:spacing w:line="400" w:lineRule="exact"/>
              <w:jc w:val="center"/>
              <w:rPr>
                <w:color w:val="000000"/>
                <w:szCs w:val="21"/>
              </w:rPr>
            </w:pPr>
            <w:r>
              <w:rPr>
                <w:color w:val="000000"/>
                <w:szCs w:val="21"/>
              </w:rPr>
              <w:t>合计</w:t>
            </w:r>
          </w:p>
        </w:tc>
        <w:tc>
          <w:tcPr>
            <w:tcW w:w="1651" w:type="dxa"/>
            <w:vAlign w:val="center"/>
          </w:tcPr>
          <w:p>
            <w:pPr>
              <w:spacing w:line="400" w:lineRule="exact"/>
              <w:jc w:val="center"/>
              <w:rPr>
                <w:color w:val="000000"/>
                <w:szCs w:val="21"/>
              </w:rPr>
            </w:pPr>
            <w:r>
              <w:rPr>
                <w:color w:val="000000"/>
                <w:szCs w:val="21"/>
              </w:rPr>
              <w:t xml:space="preserve">7869.9 </w:t>
            </w:r>
          </w:p>
        </w:tc>
        <w:tc>
          <w:tcPr>
            <w:tcW w:w="1316" w:type="dxa"/>
            <w:vAlign w:val="center"/>
          </w:tcPr>
          <w:p>
            <w:pPr>
              <w:spacing w:line="400" w:lineRule="exact"/>
              <w:jc w:val="center"/>
              <w:rPr>
                <w:color w:val="000000"/>
                <w:szCs w:val="21"/>
              </w:rPr>
            </w:pPr>
            <w:r>
              <w:rPr>
                <w:color w:val="000000"/>
                <w:szCs w:val="21"/>
              </w:rPr>
              <w:t xml:space="preserve">2609.4 </w:t>
            </w:r>
          </w:p>
        </w:tc>
        <w:tc>
          <w:tcPr>
            <w:tcW w:w="1315" w:type="dxa"/>
            <w:vAlign w:val="center"/>
          </w:tcPr>
          <w:p>
            <w:pPr>
              <w:spacing w:line="400" w:lineRule="exact"/>
              <w:jc w:val="center"/>
              <w:rPr>
                <w:color w:val="000000"/>
                <w:szCs w:val="21"/>
              </w:rPr>
            </w:pPr>
            <w:r>
              <w:rPr>
                <w:color w:val="000000"/>
                <w:szCs w:val="21"/>
              </w:rPr>
              <w:t xml:space="preserve">2982.8 </w:t>
            </w:r>
          </w:p>
        </w:tc>
        <w:tc>
          <w:tcPr>
            <w:tcW w:w="1316" w:type="dxa"/>
            <w:vAlign w:val="center"/>
          </w:tcPr>
          <w:p>
            <w:pPr>
              <w:spacing w:line="400" w:lineRule="exact"/>
              <w:jc w:val="center"/>
              <w:rPr>
                <w:color w:val="000000"/>
                <w:szCs w:val="21"/>
              </w:rPr>
            </w:pPr>
            <w:r>
              <w:rPr>
                <w:color w:val="000000"/>
                <w:szCs w:val="21"/>
              </w:rPr>
              <w:t xml:space="preserve">13462.2 </w:t>
            </w:r>
          </w:p>
        </w:tc>
        <w:tc>
          <w:tcPr>
            <w:tcW w:w="1316" w:type="dxa"/>
            <w:vAlign w:val="center"/>
          </w:tcPr>
          <w:p>
            <w:pPr>
              <w:spacing w:line="400" w:lineRule="exact"/>
              <w:jc w:val="center"/>
              <w:rPr>
                <w:color w:val="000000"/>
                <w:szCs w:val="21"/>
              </w:rPr>
            </w:pPr>
            <w:r>
              <w:rPr>
                <w:color w:val="000000"/>
                <w:szCs w:val="21"/>
              </w:rPr>
              <w:t>100.00%</w:t>
            </w:r>
          </w:p>
        </w:tc>
      </w:tr>
      <w:bookmarkEnd w:id="7"/>
    </w:tbl>
    <w:p>
      <w:pPr>
        <w:widowControl/>
        <w:shd w:val="clear" w:color="auto" w:fill="FFFFFF"/>
        <w:spacing w:line="400" w:lineRule="exact"/>
        <w:ind w:firstLine="480" w:firstLineChars="200"/>
        <w:rPr>
          <w:rFonts w:hint="eastAsia"/>
          <w:kern w:val="0"/>
          <w:sz w:val="24"/>
        </w:rPr>
      </w:pPr>
      <w:r>
        <w:rPr>
          <w:rFonts w:hint="eastAsia"/>
          <w:kern w:val="0"/>
          <w:sz w:val="24"/>
        </w:rPr>
        <w:t xml:space="preserve">5、合作模式 </w:t>
      </w:r>
    </w:p>
    <w:p>
      <w:pPr>
        <w:widowControl/>
        <w:shd w:val="clear" w:color="auto" w:fill="FFFFFF"/>
        <w:spacing w:line="400" w:lineRule="exact"/>
        <w:ind w:firstLine="480" w:firstLineChars="200"/>
        <w:rPr>
          <w:rFonts w:hint="eastAsia"/>
          <w:kern w:val="0"/>
          <w:sz w:val="24"/>
        </w:rPr>
      </w:pPr>
      <w:r>
        <w:rPr>
          <w:rFonts w:hint="eastAsia"/>
          <w:kern w:val="0"/>
          <w:sz w:val="24"/>
        </w:rPr>
        <w:t xml:space="preserve">1）经通许县人民政府授权，通许县住房和城乡规划建设局作为本项目实施机构，具体负责该项目的PPP合作中政府方的事务，通许县政府平台公司——通许县发展投资有限公司作为政府方出资代表和社会资本合资成立项目公司。项目公司注册资本为2000万元，项目公司股权比例为：出资代表出资占比10%，社会投资人出资占比90%。项目资本金为项目总投资的20%，除项目公司注册资本外的资本金由社会资本方出资；项目融资为总投资的80%，由项目公司作为主体进行融资，融资可采用基金、信托、资产证券化、银行贷款等方式，社会资本方保障项目公司完成融资工作。 </w:t>
      </w:r>
    </w:p>
    <w:p>
      <w:pPr>
        <w:widowControl/>
        <w:shd w:val="clear" w:color="auto" w:fill="FFFFFF"/>
        <w:spacing w:line="400" w:lineRule="exact"/>
        <w:ind w:firstLine="480" w:firstLineChars="200"/>
        <w:rPr>
          <w:rFonts w:hint="eastAsia"/>
          <w:kern w:val="0"/>
          <w:sz w:val="24"/>
        </w:rPr>
      </w:pPr>
      <w:r>
        <w:rPr>
          <w:rFonts w:hint="eastAsia"/>
          <w:kern w:val="0"/>
          <w:sz w:val="24"/>
        </w:rPr>
        <w:t>2）项目公司负责该项目的投资、建设、运营与养护管理工作。</w:t>
      </w:r>
    </w:p>
    <w:p>
      <w:pPr>
        <w:widowControl/>
        <w:shd w:val="clear" w:color="auto" w:fill="FFFFFF"/>
        <w:spacing w:line="400" w:lineRule="exact"/>
        <w:ind w:firstLine="480" w:firstLineChars="200"/>
        <w:rPr>
          <w:rFonts w:hint="eastAsia"/>
          <w:kern w:val="0"/>
          <w:sz w:val="24"/>
        </w:rPr>
      </w:pPr>
      <w:r>
        <w:rPr>
          <w:rFonts w:hint="eastAsia"/>
          <w:kern w:val="0"/>
          <w:sz w:val="24"/>
        </w:rPr>
        <w:t>3）项目建设用地及在建工程手续不得用于对外担保、抵押、质押或设置其他任何形式的他项权，项目公司不得对外提供任何形式的担保。</w:t>
      </w:r>
    </w:p>
    <w:p>
      <w:pPr>
        <w:widowControl/>
        <w:shd w:val="clear" w:color="auto" w:fill="FFFFFF"/>
        <w:spacing w:line="400" w:lineRule="exact"/>
        <w:ind w:firstLine="480" w:firstLineChars="200"/>
        <w:rPr>
          <w:rFonts w:hint="eastAsia"/>
          <w:kern w:val="0"/>
          <w:sz w:val="24"/>
        </w:rPr>
      </w:pPr>
      <w:r>
        <w:rPr>
          <w:rFonts w:hint="eastAsia"/>
          <w:kern w:val="0"/>
          <w:sz w:val="24"/>
        </w:rPr>
        <w:t>6、合作期限</w:t>
      </w:r>
    </w:p>
    <w:p>
      <w:pPr>
        <w:widowControl/>
        <w:shd w:val="clear" w:color="auto" w:fill="FFFFFF"/>
        <w:spacing w:line="400" w:lineRule="exact"/>
        <w:ind w:firstLine="480" w:firstLineChars="200"/>
        <w:rPr>
          <w:rFonts w:hint="eastAsia"/>
          <w:kern w:val="0"/>
          <w:sz w:val="24"/>
        </w:rPr>
      </w:pPr>
      <w:r>
        <w:rPr>
          <w:rFonts w:hint="eastAsia"/>
          <w:kern w:val="0"/>
          <w:sz w:val="24"/>
        </w:rPr>
        <w:t>1）建设期：本项目建设期定为24个月，项目开工日期初步确定为201</w:t>
      </w:r>
      <w:r>
        <w:rPr>
          <w:kern w:val="0"/>
          <w:sz w:val="24"/>
        </w:rPr>
        <w:t>8</w:t>
      </w:r>
      <w:r>
        <w:rPr>
          <w:rFonts w:hint="eastAsia"/>
          <w:kern w:val="0"/>
          <w:sz w:val="24"/>
        </w:rPr>
        <w:t>年7月，交付日期为20</w:t>
      </w:r>
      <w:r>
        <w:rPr>
          <w:kern w:val="0"/>
          <w:sz w:val="24"/>
        </w:rPr>
        <w:t>20</w:t>
      </w:r>
      <w:r>
        <w:rPr>
          <w:rFonts w:hint="eastAsia"/>
          <w:kern w:val="0"/>
          <w:sz w:val="24"/>
        </w:rPr>
        <w:t>年7月；</w:t>
      </w:r>
    </w:p>
    <w:p>
      <w:pPr>
        <w:widowControl/>
        <w:shd w:val="clear" w:color="auto" w:fill="FFFFFF"/>
        <w:spacing w:line="400" w:lineRule="exact"/>
        <w:ind w:firstLine="480" w:firstLineChars="200"/>
        <w:rPr>
          <w:rFonts w:hint="eastAsia"/>
          <w:kern w:val="0"/>
          <w:sz w:val="24"/>
        </w:rPr>
      </w:pPr>
      <w:r>
        <w:rPr>
          <w:rFonts w:hint="eastAsia"/>
          <w:kern w:val="0"/>
          <w:sz w:val="24"/>
        </w:rPr>
        <w:t>2）运营期：</w:t>
      </w:r>
      <w:r>
        <w:rPr>
          <w:kern w:val="0"/>
          <w:sz w:val="24"/>
        </w:rPr>
        <w:t>13</w:t>
      </w:r>
      <w:r>
        <w:rPr>
          <w:rFonts w:hint="eastAsia"/>
          <w:kern w:val="0"/>
          <w:sz w:val="24"/>
        </w:rPr>
        <w:t>年；</w:t>
      </w:r>
    </w:p>
    <w:p>
      <w:pPr>
        <w:widowControl/>
        <w:shd w:val="clear" w:color="auto" w:fill="FFFFFF"/>
        <w:spacing w:line="400" w:lineRule="exact"/>
        <w:ind w:firstLine="480" w:firstLineChars="200"/>
        <w:rPr>
          <w:kern w:val="0"/>
          <w:sz w:val="24"/>
        </w:rPr>
      </w:pPr>
      <w:r>
        <w:rPr>
          <w:rFonts w:hint="eastAsia"/>
          <w:kern w:val="0"/>
          <w:sz w:val="24"/>
        </w:rPr>
        <w:t>3）合作期限为</w:t>
      </w:r>
      <w:r>
        <w:rPr>
          <w:kern w:val="0"/>
          <w:sz w:val="24"/>
        </w:rPr>
        <w:t>15</w:t>
      </w:r>
      <w:r>
        <w:rPr>
          <w:rFonts w:hint="eastAsia"/>
          <w:kern w:val="0"/>
          <w:sz w:val="24"/>
        </w:rPr>
        <w:t>年</w:t>
      </w:r>
    </w:p>
    <w:p>
      <w:pPr>
        <w:widowControl/>
        <w:shd w:val="clear" w:color="auto" w:fill="FFFFFF"/>
        <w:spacing w:line="400" w:lineRule="exact"/>
        <w:ind w:firstLine="480" w:firstLineChars="200"/>
        <w:rPr>
          <w:kern w:val="0"/>
          <w:sz w:val="24"/>
        </w:rPr>
      </w:pPr>
      <w:r>
        <w:rPr>
          <w:rFonts w:hint="eastAsia"/>
          <w:kern w:val="0"/>
          <w:sz w:val="24"/>
        </w:rPr>
        <w:t>7、项目回报机制</w:t>
      </w:r>
    </w:p>
    <w:p>
      <w:pPr>
        <w:widowControl/>
        <w:shd w:val="clear" w:color="auto" w:fill="FFFFFF"/>
        <w:spacing w:line="400" w:lineRule="exact"/>
        <w:ind w:firstLine="480" w:firstLineChars="200"/>
        <w:rPr>
          <w:rFonts w:hint="eastAsia"/>
          <w:kern w:val="0"/>
          <w:sz w:val="24"/>
        </w:rPr>
      </w:pPr>
      <w:r>
        <w:rPr>
          <w:rFonts w:hint="eastAsia"/>
          <w:kern w:val="0"/>
          <w:sz w:val="24"/>
        </w:rPr>
        <w:t>本项目属于准经营性项目，采用“可行性缺口补助”的回报机制。</w:t>
      </w:r>
    </w:p>
    <w:p>
      <w:pPr>
        <w:widowControl/>
        <w:shd w:val="clear" w:color="auto" w:fill="FFFFFF"/>
        <w:spacing w:line="400" w:lineRule="exact"/>
        <w:ind w:firstLine="480" w:firstLineChars="200"/>
        <w:rPr>
          <w:rFonts w:hint="eastAsia"/>
          <w:kern w:val="0"/>
          <w:sz w:val="24"/>
        </w:rPr>
      </w:pPr>
      <w:r>
        <w:rPr>
          <w:rFonts w:hint="eastAsia"/>
          <w:kern w:val="0"/>
          <w:sz w:val="24"/>
        </w:rPr>
        <w:t xml:space="preserve">8、采购需求 </w:t>
      </w:r>
    </w:p>
    <w:p>
      <w:pPr>
        <w:widowControl/>
        <w:shd w:val="clear" w:color="auto" w:fill="FFFFFF"/>
        <w:spacing w:line="400" w:lineRule="exact"/>
        <w:ind w:firstLine="480" w:firstLineChars="200"/>
        <w:rPr>
          <w:kern w:val="0"/>
          <w:sz w:val="24"/>
        </w:rPr>
      </w:pPr>
      <w:r>
        <w:rPr>
          <w:rFonts w:hint="eastAsia"/>
          <w:kern w:val="0"/>
          <w:sz w:val="24"/>
        </w:rPr>
        <w:t>选择具有相应基础设施和公用事业特许经营项目建设、投融资经验，专业能力、融资实力、信用和财务状况良好，能够承担项目总承包建设管理，在国内具有较强实力的社会资本方为投资人，与通许县发展投资有限公司合资成立项目公司，以项目公司为项目投融资主体和建设主体，负责通许县城市水系综合整治工程的投资、建设、运营与养护管理工作。</w:t>
      </w:r>
      <w:r>
        <w:rPr>
          <w:kern w:val="0"/>
          <w:sz w:val="24"/>
        </w:rPr>
        <w:t> </w:t>
      </w:r>
    </w:p>
    <w:p>
      <w:pPr>
        <w:widowControl/>
        <w:shd w:val="clear" w:color="auto" w:fill="FFFFFF"/>
        <w:spacing w:line="400" w:lineRule="exact"/>
        <w:ind w:firstLine="480" w:firstLineChars="200"/>
        <w:rPr>
          <w:kern w:val="0"/>
          <w:sz w:val="24"/>
        </w:rPr>
      </w:pPr>
      <w:r>
        <w:rPr>
          <w:kern w:val="0"/>
          <w:sz w:val="24"/>
        </w:rPr>
        <w:t>上述所述所有事项最终以招标文件的约定为准。</w:t>
      </w:r>
    </w:p>
    <w:p>
      <w:pPr>
        <w:widowControl/>
        <w:shd w:val="clear" w:color="auto" w:fill="FFFFFF"/>
        <w:adjustRightInd w:val="0"/>
        <w:spacing w:line="400" w:lineRule="exact"/>
        <w:ind w:firstLine="482" w:firstLineChars="200"/>
        <w:jc w:val="left"/>
        <w:outlineLvl w:val="1"/>
        <w:rPr>
          <w:b/>
          <w:bCs/>
          <w:kern w:val="0"/>
          <w:sz w:val="24"/>
        </w:rPr>
      </w:pPr>
      <w:bookmarkStart w:id="8" w:name="_Toc8696"/>
      <w:r>
        <w:rPr>
          <w:b/>
          <w:bCs/>
          <w:kern w:val="0"/>
          <w:sz w:val="24"/>
        </w:rPr>
        <w:t>三、申请人（社会资本）的资格要求</w:t>
      </w:r>
      <w:bookmarkEnd w:id="8"/>
      <w:r>
        <w:rPr>
          <w:b/>
          <w:bCs/>
          <w:kern w:val="0"/>
          <w:sz w:val="24"/>
        </w:rPr>
        <w:t xml:space="preserve"> </w:t>
      </w:r>
    </w:p>
    <w:p>
      <w:pPr>
        <w:adjustRightInd w:val="0"/>
        <w:spacing w:line="400" w:lineRule="exact"/>
        <w:ind w:firstLine="480" w:firstLineChars="200"/>
        <w:rPr>
          <w:kern w:val="0"/>
          <w:sz w:val="24"/>
        </w:rPr>
      </w:pPr>
      <w:r>
        <w:rPr>
          <w:rFonts w:hint="eastAsia"/>
          <w:kern w:val="0"/>
          <w:sz w:val="24"/>
        </w:rPr>
        <w:t>凡有投资建设合作意向并是正式成立且有效存在，具有相应的综合实力、财务能力、投融资能力和投资建设经验的企业法人，均可对本采购项目向采购人提出资格审查申请，只有资格审查合格的申请人才能参加投标。</w:t>
      </w:r>
    </w:p>
    <w:p>
      <w:pPr>
        <w:adjustRightInd w:val="0"/>
        <w:spacing w:line="400" w:lineRule="exact"/>
        <w:ind w:firstLine="482" w:firstLineChars="200"/>
        <w:rPr>
          <w:b/>
          <w:sz w:val="24"/>
        </w:rPr>
      </w:pPr>
      <w:bookmarkStart w:id="9" w:name="_Hlk490135187"/>
      <w:r>
        <w:rPr>
          <w:b/>
          <w:sz w:val="24"/>
        </w:rPr>
        <w:t>1、本次招标接受联合体投标。采用联合体投标的，必须满足下列要求：</w:t>
      </w:r>
    </w:p>
    <w:bookmarkEnd w:id="9"/>
    <w:p>
      <w:pPr>
        <w:adjustRightInd w:val="0"/>
        <w:spacing w:line="400" w:lineRule="exact"/>
        <w:ind w:firstLine="480" w:firstLineChars="200"/>
        <w:rPr>
          <w:sz w:val="24"/>
        </w:rPr>
      </w:pPr>
      <w:bookmarkStart w:id="10" w:name="_Hlk490135150"/>
      <w:r>
        <w:rPr>
          <w:sz w:val="24"/>
        </w:rPr>
        <w:t>1）联合体成员不得超过</w:t>
      </w:r>
      <w:r>
        <w:rPr>
          <w:rFonts w:hint="eastAsia"/>
          <w:sz w:val="24"/>
        </w:rPr>
        <w:t>三</w:t>
      </w:r>
      <w:r>
        <w:rPr>
          <w:sz w:val="24"/>
        </w:rPr>
        <w:t>名，以一个</w:t>
      </w:r>
      <w:r>
        <w:rPr>
          <w:rFonts w:hint="eastAsia"/>
          <w:sz w:val="24"/>
        </w:rPr>
        <w:t>投标</w:t>
      </w:r>
      <w:r>
        <w:rPr>
          <w:sz w:val="24"/>
        </w:rPr>
        <w:t>人的身份参与投标。不同专业的成员组成的联合体，</w:t>
      </w:r>
      <w:r>
        <w:rPr>
          <w:rFonts w:hint="eastAsia"/>
          <w:sz w:val="24"/>
        </w:rPr>
        <w:t>各</w:t>
      </w:r>
      <w:r>
        <w:rPr>
          <w:sz w:val="24"/>
        </w:rPr>
        <w:t>成员应当具备</w:t>
      </w:r>
      <w:r>
        <w:rPr>
          <w:rFonts w:hint="eastAsia"/>
          <w:sz w:val="24"/>
        </w:rPr>
        <w:t>与</w:t>
      </w:r>
      <w:r>
        <w:rPr>
          <w:sz w:val="24"/>
        </w:rPr>
        <w:t>各自所承担工作内容</w:t>
      </w:r>
      <w:r>
        <w:rPr>
          <w:rFonts w:hint="eastAsia"/>
          <w:sz w:val="24"/>
        </w:rPr>
        <w:t>相适应的</w:t>
      </w:r>
      <w:r>
        <w:rPr>
          <w:sz w:val="24"/>
        </w:rPr>
        <w:t>能力和资质条件</w:t>
      </w:r>
      <w:r>
        <w:rPr>
          <w:kern w:val="0"/>
          <w:sz w:val="24"/>
        </w:rPr>
        <w:t>。</w:t>
      </w:r>
    </w:p>
    <w:p>
      <w:pPr>
        <w:adjustRightInd w:val="0"/>
        <w:spacing w:line="400" w:lineRule="exact"/>
        <w:ind w:firstLine="480" w:firstLineChars="200"/>
        <w:rPr>
          <w:sz w:val="24"/>
        </w:rPr>
      </w:pPr>
      <w:r>
        <w:rPr>
          <w:sz w:val="24"/>
        </w:rPr>
        <w:t>2）</w:t>
      </w:r>
      <w:r>
        <w:rPr>
          <w:rFonts w:hint="eastAsia"/>
          <w:sz w:val="24"/>
        </w:rPr>
        <w:t>提交联合体各成员单位共同签订的共同投标协议，联合体协议中必须明确联合体牵头人及联合体成员单位名称、职责分工以及应当承担的责任，同时载明联合体各成员单位的具体工作分工，联合体成员均应参股未来的项目公司。（联合体协议复印件装订在资格预审文件中，原件携带至资格预审现场备查）。</w:t>
      </w:r>
    </w:p>
    <w:p>
      <w:pPr>
        <w:adjustRightInd w:val="0"/>
        <w:spacing w:line="400" w:lineRule="exact"/>
        <w:ind w:firstLine="480" w:firstLineChars="200"/>
        <w:rPr>
          <w:sz w:val="24"/>
        </w:rPr>
      </w:pPr>
      <w:r>
        <w:rPr>
          <w:sz w:val="24"/>
        </w:rPr>
        <w:t>3）联合体各方成员不得再以自己名义单独投标，也不得组成新的联合体或参加其他联合体在本项目中投标。</w:t>
      </w:r>
    </w:p>
    <w:p>
      <w:pPr>
        <w:adjustRightInd w:val="0"/>
        <w:spacing w:line="400" w:lineRule="exact"/>
        <w:ind w:firstLine="480" w:firstLineChars="200"/>
        <w:rPr>
          <w:sz w:val="24"/>
        </w:rPr>
      </w:pPr>
      <w:r>
        <w:rPr>
          <w:sz w:val="24"/>
        </w:rPr>
        <w:t>4）</w:t>
      </w:r>
      <w:r>
        <w:rPr>
          <w:rFonts w:hint="eastAsia"/>
          <w:kern w:val="0"/>
          <w:sz w:val="24"/>
        </w:rPr>
        <w:t>联合体中标后，其成员不得变更。</w:t>
      </w:r>
    </w:p>
    <w:p>
      <w:pPr>
        <w:adjustRightInd w:val="0"/>
        <w:spacing w:line="400" w:lineRule="exact"/>
        <w:ind w:firstLine="480" w:firstLineChars="200"/>
        <w:rPr>
          <w:sz w:val="24"/>
        </w:rPr>
      </w:pPr>
      <w:r>
        <w:rPr>
          <w:sz w:val="24"/>
        </w:rPr>
        <w:t>5）</w:t>
      </w:r>
      <w:bookmarkStart w:id="11" w:name="_Hlk493692134"/>
      <w:r>
        <w:rPr>
          <w:rFonts w:hint="eastAsia"/>
          <w:sz w:val="24"/>
        </w:rPr>
        <w:t>除联合体协议及委托授权代理书之外，</w:t>
      </w:r>
      <w:r>
        <w:rPr>
          <w:sz w:val="24"/>
        </w:rPr>
        <w:t>申请文件</w:t>
      </w:r>
      <w:r>
        <w:rPr>
          <w:rFonts w:hint="eastAsia"/>
          <w:sz w:val="24"/>
        </w:rPr>
        <w:t>其他</w:t>
      </w:r>
      <w:r>
        <w:rPr>
          <w:sz w:val="24"/>
        </w:rPr>
        <w:t>所有</w:t>
      </w:r>
      <w:r>
        <w:rPr>
          <w:rFonts w:hint="eastAsia"/>
          <w:sz w:val="24"/>
        </w:rPr>
        <w:t>内容均</w:t>
      </w:r>
      <w:r>
        <w:rPr>
          <w:sz w:val="24"/>
        </w:rPr>
        <w:t>以联合体牵头人盖章、授权代理人签字为准。</w:t>
      </w:r>
      <w:bookmarkEnd w:id="11"/>
    </w:p>
    <w:p>
      <w:pPr>
        <w:adjustRightInd w:val="0"/>
        <w:spacing w:line="400" w:lineRule="exact"/>
        <w:ind w:firstLine="482" w:firstLineChars="200"/>
        <w:rPr>
          <w:b/>
          <w:sz w:val="24"/>
        </w:rPr>
      </w:pPr>
      <w:r>
        <w:rPr>
          <w:b/>
          <w:sz w:val="24"/>
        </w:rPr>
        <w:t>2、独立申请人或联合体申请人一方成员需满足的条件：</w:t>
      </w:r>
    </w:p>
    <w:p>
      <w:pPr>
        <w:adjustRightInd w:val="0"/>
        <w:spacing w:line="400" w:lineRule="exact"/>
        <w:ind w:firstLine="480" w:firstLineChars="200"/>
        <w:rPr>
          <w:sz w:val="24"/>
        </w:rPr>
      </w:pPr>
      <w:r>
        <w:rPr>
          <w:sz w:val="24"/>
        </w:rPr>
        <w:t>1）除符合《政府采购法》第二十二条的规定外，必须是持有有效的营业执照独立企业法人。（复印件须加盖申请人公章，同时提供原件备查）</w:t>
      </w:r>
    </w:p>
    <w:p>
      <w:pPr>
        <w:adjustRightInd w:val="0"/>
        <w:spacing w:line="400" w:lineRule="exact"/>
        <w:ind w:firstLine="480" w:firstLineChars="200"/>
        <w:rPr>
          <w:sz w:val="24"/>
        </w:rPr>
      </w:pPr>
      <w:r>
        <w:rPr>
          <w:rFonts w:hint="eastAsia"/>
          <w:sz w:val="24"/>
        </w:rPr>
        <w:t>2</w:t>
      </w:r>
      <w:r>
        <w:rPr>
          <w:sz w:val="24"/>
        </w:rPr>
        <w:t>）</w:t>
      </w:r>
      <w:r>
        <w:rPr>
          <w:rFonts w:hint="eastAsia"/>
          <w:sz w:val="24"/>
        </w:rPr>
        <w:t>履约及信誉情况良好，提供在过去三年（201</w:t>
      </w:r>
      <w:r>
        <w:rPr>
          <w:sz w:val="24"/>
        </w:rPr>
        <w:t>5</w:t>
      </w:r>
      <w:r>
        <w:rPr>
          <w:rFonts w:hint="eastAsia"/>
          <w:sz w:val="24"/>
        </w:rPr>
        <w:t>年、2016年、2017年）中，无因违约或不恰当履约引起的合同中止、纠纷、争议、仲裁和诉讼记录声明及行贿犯罪档案查询告知函。（提供加盖申请人公章的《近三年发生的诉讼及仲裁情况表》原件及检察机关出具的书面告知函原件（盖有受理申请的人民检察院的行贿犯罪档案查询电子印章具有同等效力））</w:t>
      </w:r>
    </w:p>
    <w:p>
      <w:pPr>
        <w:adjustRightInd w:val="0"/>
        <w:spacing w:line="400" w:lineRule="exact"/>
        <w:ind w:firstLine="480" w:firstLineChars="200"/>
        <w:rPr>
          <w:rFonts w:hint="eastAsia"/>
          <w:color w:val="000000"/>
          <w:kern w:val="0"/>
          <w:sz w:val="24"/>
        </w:rPr>
      </w:pPr>
      <w:r>
        <w:rPr>
          <w:rFonts w:hint="eastAsia"/>
          <w:color w:val="000000"/>
          <w:kern w:val="0"/>
          <w:sz w:val="24"/>
        </w:rPr>
        <w:t>3）</w:t>
      </w:r>
      <w:r>
        <w:rPr>
          <w:color w:val="000000"/>
          <w:kern w:val="0"/>
          <w:sz w:val="24"/>
        </w:rPr>
        <w:t>独立申请人或</w:t>
      </w:r>
      <w:r>
        <w:rPr>
          <w:rFonts w:hint="eastAsia"/>
          <w:color w:val="000000"/>
          <w:kern w:val="0"/>
          <w:sz w:val="24"/>
        </w:rPr>
        <w:t>联合体牵头人净资产不低于</w:t>
      </w:r>
      <w:r>
        <w:rPr>
          <w:color w:val="000000"/>
          <w:kern w:val="0"/>
          <w:sz w:val="24"/>
        </w:rPr>
        <w:t>5000</w:t>
      </w:r>
      <w:r>
        <w:rPr>
          <w:rFonts w:hint="eastAsia"/>
          <w:color w:val="000000"/>
          <w:kern w:val="0"/>
          <w:sz w:val="24"/>
        </w:rPr>
        <w:t>万元，且最近连续三年（2014年、2015年、2016年）盈利，提供近三年（2014年、2015年、2016年）的财务审计报告。（复印件须加盖申请人公章，同时提供原件备查）；</w:t>
      </w:r>
    </w:p>
    <w:p>
      <w:pPr>
        <w:adjustRightInd w:val="0"/>
        <w:spacing w:line="400" w:lineRule="exact"/>
        <w:ind w:firstLine="480" w:firstLineChars="200"/>
        <w:rPr>
          <w:rFonts w:hint="eastAsia"/>
          <w:color w:val="000000"/>
          <w:kern w:val="0"/>
          <w:sz w:val="24"/>
        </w:rPr>
      </w:pPr>
      <w:r>
        <w:rPr>
          <w:color w:val="000000"/>
          <w:kern w:val="0"/>
          <w:sz w:val="24"/>
        </w:rPr>
        <w:t>4</w:t>
      </w:r>
      <w:r>
        <w:rPr>
          <w:rFonts w:hint="eastAsia"/>
          <w:color w:val="000000"/>
          <w:kern w:val="0"/>
          <w:sz w:val="24"/>
        </w:rPr>
        <w:t>）</w:t>
      </w:r>
      <w:r>
        <w:rPr>
          <w:color w:val="000000"/>
          <w:kern w:val="0"/>
          <w:sz w:val="24"/>
        </w:rPr>
        <w:t>独立申请人或</w:t>
      </w:r>
      <w:r>
        <w:rPr>
          <w:rFonts w:hint="eastAsia"/>
          <w:color w:val="000000"/>
          <w:kern w:val="0"/>
          <w:sz w:val="24"/>
        </w:rPr>
        <w:t>联合体牵头人具有市政工程施工总承包</w:t>
      </w:r>
      <w:r>
        <w:rPr>
          <w:rFonts w:hint="eastAsia"/>
          <w:color w:val="000000"/>
          <w:kern w:val="0"/>
          <w:sz w:val="24"/>
          <w:lang w:eastAsia="zh-CN"/>
        </w:rPr>
        <w:t>二</w:t>
      </w:r>
      <w:r>
        <w:rPr>
          <w:rFonts w:hint="eastAsia"/>
          <w:color w:val="000000"/>
          <w:kern w:val="0"/>
          <w:sz w:val="24"/>
        </w:rPr>
        <w:t>级及以上资质，及省级及以上建设行政主管部门核发的《安全生产许可证》。（复印件须加盖申请人公章，同时提供原件备查）；</w:t>
      </w:r>
    </w:p>
    <w:p>
      <w:pPr>
        <w:adjustRightInd w:val="0"/>
        <w:spacing w:line="400" w:lineRule="exact"/>
        <w:ind w:firstLine="480" w:firstLineChars="200"/>
        <w:rPr>
          <w:rFonts w:hint="eastAsia"/>
          <w:color w:val="000000"/>
          <w:kern w:val="0"/>
          <w:sz w:val="24"/>
        </w:rPr>
      </w:pPr>
      <w:r>
        <w:rPr>
          <w:color w:val="000000"/>
          <w:kern w:val="0"/>
          <w:sz w:val="24"/>
        </w:rPr>
        <w:t>5</w:t>
      </w:r>
      <w:r>
        <w:rPr>
          <w:rFonts w:hint="eastAsia"/>
          <w:color w:val="000000"/>
          <w:kern w:val="0"/>
          <w:sz w:val="24"/>
        </w:rPr>
        <w:t>）申请人需提供在资格预审公告发布之日至资格预审文件递交截止之前，由银行在同一天出具的金额不少于</w:t>
      </w:r>
      <w:r>
        <w:rPr>
          <w:color w:val="000000"/>
          <w:kern w:val="0"/>
          <w:sz w:val="24"/>
        </w:rPr>
        <w:t>5000</w:t>
      </w:r>
      <w:r>
        <w:rPr>
          <w:rFonts w:hint="eastAsia"/>
          <w:color w:val="000000"/>
          <w:kern w:val="0"/>
          <w:sz w:val="24"/>
        </w:rPr>
        <w:t>万元的自有资金证明。（复印件须加盖申请人公章，同时提供原件备查）；</w:t>
      </w:r>
    </w:p>
    <w:p>
      <w:pPr>
        <w:adjustRightInd w:val="0"/>
        <w:spacing w:line="400" w:lineRule="exact"/>
        <w:ind w:firstLine="480" w:firstLineChars="200"/>
        <w:rPr>
          <w:rFonts w:hint="eastAsia"/>
          <w:color w:val="000000"/>
          <w:kern w:val="0"/>
          <w:sz w:val="24"/>
        </w:rPr>
      </w:pPr>
      <w:r>
        <w:rPr>
          <w:rFonts w:hint="eastAsia"/>
          <w:color w:val="000000"/>
          <w:kern w:val="0"/>
          <w:sz w:val="24"/>
        </w:rPr>
        <w:t>6）申请人需提供银行出具的合法有效的达到</w:t>
      </w:r>
      <w:r>
        <w:rPr>
          <w:color w:val="000000"/>
          <w:kern w:val="0"/>
          <w:sz w:val="24"/>
        </w:rPr>
        <w:t>1.5</w:t>
      </w:r>
      <w:r>
        <w:rPr>
          <w:rFonts w:hint="eastAsia"/>
          <w:color w:val="000000"/>
          <w:kern w:val="0"/>
          <w:sz w:val="24"/>
        </w:rPr>
        <w:t>亿元的可用授信额度证明。（复印件须加盖申请人公章，同时提供原件备查）；</w:t>
      </w:r>
    </w:p>
    <w:p>
      <w:pPr>
        <w:adjustRightInd w:val="0"/>
        <w:spacing w:line="400" w:lineRule="exact"/>
        <w:ind w:firstLine="480" w:firstLineChars="200"/>
        <w:rPr>
          <w:rFonts w:hint="eastAsia"/>
          <w:color w:val="000000"/>
          <w:kern w:val="0"/>
          <w:sz w:val="24"/>
        </w:rPr>
      </w:pPr>
      <w:r>
        <w:rPr>
          <w:rFonts w:hint="eastAsia"/>
          <w:color w:val="000000"/>
          <w:kern w:val="0"/>
          <w:sz w:val="24"/>
        </w:rPr>
        <w:t>7）申请人自2012年1月1日以来至少承担过</w:t>
      </w:r>
      <w:r>
        <w:rPr>
          <w:rFonts w:hint="eastAsia"/>
          <w:sz w:val="24"/>
        </w:rPr>
        <w:t>一项投资类（含PPP、BT、BOT、EPC等）项目</w:t>
      </w:r>
      <w:r>
        <w:rPr>
          <w:rFonts w:hint="eastAsia"/>
          <w:color w:val="000000"/>
          <w:kern w:val="0"/>
          <w:sz w:val="24"/>
        </w:rPr>
        <w:t>，投资额不低于</w:t>
      </w:r>
      <w:r>
        <w:rPr>
          <w:color w:val="000000"/>
          <w:kern w:val="0"/>
          <w:sz w:val="24"/>
        </w:rPr>
        <w:t>1.5</w:t>
      </w:r>
      <w:r>
        <w:rPr>
          <w:rFonts w:hint="eastAsia"/>
          <w:color w:val="000000"/>
          <w:kern w:val="0"/>
          <w:sz w:val="24"/>
        </w:rPr>
        <w:t>亿元。（需提供中标通知书或项目合同，时间、金额以上述材料中的时间、金额为准，复印件加盖申请人公章，同时提供原件备查）；</w:t>
      </w:r>
    </w:p>
    <w:p>
      <w:pPr>
        <w:adjustRightInd w:val="0"/>
        <w:spacing w:line="400" w:lineRule="exact"/>
        <w:ind w:firstLine="480" w:firstLineChars="200"/>
        <w:rPr>
          <w:rFonts w:hint="eastAsia"/>
          <w:color w:val="000000"/>
          <w:kern w:val="0"/>
          <w:sz w:val="24"/>
        </w:rPr>
      </w:pPr>
      <w:r>
        <w:rPr>
          <w:rFonts w:hint="eastAsia"/>
          <w:color w:val="000000"/>
          <w:kern w:val="0"/>
          <w:sz w:val="24"/>
        </w:rPr>
        <w:t>8）申请人自2012年1月1日以来至少承担过一项市政工程施工总承包项目，合同金额不低于</w:t>
      </w:r>
      <w:r>
        <w:rPr>
          <w:color w:val="000000"/>
          <w:kern w:val="0"/>
          <w:sz w:val="24"/>
        </w:rPr>
        <w:t>5000</w:t>
      </w:r>
      <w:r>
        <w:rPr>
          <w:rFonts w:hint="eastAsia"/>
          <w:color w:val="000000"/>
          <w:kern w:val="0"/>
          <w:sz w:val="24"/>
        </w:rPr>
        <w:t>万元。（在建项目提供中标通知书和施工合同，时间、金额以施工合同签订时间、金额为准；已竣工项目提供中标通知书、施工合同及竣工验收合格证明材料，时间以竣工验收合格证明材料为准，金额以施工合同签订金额为准；复印件须加盖申请人公章，同时提供原件备查）；</w:t>
      </w:r>
    </w:p>
    <w:p>
      <w:pPr>
        <w:adjustRightInd w:val="0"/>
        <w:spacing w:line="400" w:lineRule="exact"/>
        <w:ind w:firstLine="480" w:firstLineChars="200"/>
        <w:rPr>
          <w:rFonts w:hint="eastAsia"/>
          <w:color w:val="000000"/>
          <w:kern w:val="0"/>
          <w:sz w:val="24"/>
        </w:rPr>
      </w:pPr>
      <w:r>
        <w:rPr>
          <w:rFonts w:hint="eastAsia"/>
          <w:color w:val="000000"/>
          <w:kern w:val="0"/>
          <w:sz w:val="24"/>
        </w:rPr>
        <w:t>9）申请人拟组建的管理团队须提供：高级职称（含高级工程师、高级经济师、高级会计师）3名以上，市政工程专业的一级注册建造师不少于1名。提供近6个月申请人为其缴纳的社保证明。（复印件须加盖申请人公章，同时提供原件备查）；</w:t>
      </w:r>
    </w:p>
    <w:p>
      <w:pPr>
        <w:adjustRightInd w:val="0"/>
        <w:spacing w:line="400" w:lineRule="exact"/>
        <w:ind w:firstLine="480" w:firstLineChars="200"/>
        <w:rPr>
          <w:sz w:val="24"/>
        </w:rPr>
      </w:pPr>
      <w:r>
        <w:rPr>
          <w:rFonts w:hint="eastAsia"/>
          <w:color w:val="000000"/>
          <w:kern w:val="0"/>
          <w:sz w:val="24"/>
        </w:rPr>
        <w:t>1</w:t>
      </w:r>
      <w:r>
        <w:rPr>
          <w:color w:val="000000"/>
          <w:kern w:val="0"/>
          <w:sz w:val="24"/>
        </w:rPr>
        <w:t>0</w:t>
      </w:r>
      <w:r>
        <w:rPr>
          <w:rFonts w:hint="eastAsia"/>
          <w:color w:val="000000"/>
          <w:kern w:val="0"/>
          <w:sz w:val="24"/>
        </w:rPr>
        <w:t>）法律、法规规定的其他条件。</w:t>
      </w:r>
    </w:p>
    <w:bookmarkEnd w:id="10"/>
    <w:p>
      <w:pPr>
        <w:widowControl/>
        <w:shd w:val="clear" w:color="auto" w:fill="FFFFFF"/>
        <w:adjustRightInd w:val="0"/>
        <w:spacing w:line="400" w:lineRule="exact"/>
        <w:jc w:val="left"/>
        <w:outlineLvl w:val="1"/>
        <w:rPr>
          <w:b/>
          <w:bCs/>
          <w:kern w:val="0"/>
          <w:sz w:val="24"/>
        </w:rPr>
      </w:pPr>
      <w:bookmarkStart w:id="12" w:name="_Toc17131"/>
      <w:r>
        <w:rPr>
          <w:b/>
          <w:bCs/>
          <w:kern w:val="0"/>
          <w:sz w:val="24"/>
        </w:rPr>
        <w:t>四、资格预审报名信息</w:t>
      </w:r>
      <w:bookmarkEnd w:id="12"/>
      <w:r>
        <w:rPr>
          <w:b/>
          <w:bCs/>
          <w:kern w:val="0"/>
          <w:sz w:val="24"/>
        </w:rPr>
        <w:t xml:space="preserve"> </w:t>
      </w:r>
    </w:p>
    <w:p>
      <w:pPr>
        <w:widowControl/>
        <w:shd w:val="clear" w:color="auto" w:fill="FFFFFF"/>
        <w:spacing w:line="400" w:lineRule="exact"/>
        <w:jc w:val="left"/>
        <w:rPr>
          <w:rStyle w:val="6"/>
          <w:rFonts w:hint="eastAsia" w:ascii="宋体" w:hAnsi="宋体" w:cs="宋体"/>
          <w:b w:val="0"/>
          <w:bCs/>
          <w:color w:val="000000"/>
          <w:sz w:val="24"/>
          <w:shd w:val="clear" w:color="auto" w:fill="FFFFFF"/>
        </w:rPr>
      </w:pPr>
      <w:r>
        <w:rPr>
          <w:kern w:val="0"/>
          <w:sz w:val="24"/>
        </w:rPr>
        <w:t>1、预审文件发布时间及预审文件获取方法：各申请人请可于</w:t>
      </w:r>
      <w:r>
        <w:rPr>
          <w:rFonts w:hint="eastAsia"/>
          <w:kern w:val="0"/>
          <w:sz w:val="24"/>
          <w:u w:val="single"/>
        </w:rPr>
        <w:t xml:space="preserve"> 2018</w:t>
      </w:r>
      <w:r>
        <w:rPr>
          <w:kern w:val="0"/>
          <w:sz w:val="24"/>
          <w:u w:val="single"/>
        </w:rPr>
        <w:t xml:space="preserve">  </w:t>
      </w:r>
      <w:r>
        <w:rPr>
          <w:bCs/>
          <w:kern w:val="0"/>
          <w:sz w:val="24"/>
        </w:rPr>
        <w:t>年</w:t>
      </w:r>
      <w:r>
        <w:rPr>
          <w:kern w:val="0"/>
          <w:sz w:val="24"/>
          <w:u w:val="single"/>
        </w:rPr>
        <w:t xml:space="preserve"> </w:t>
      </w:r>
      <w:r>
        <w:rPr>
          <w:rFonts w:hint="eastAsia"/>
          <w:kern w:val="0"/>
          <w:sz w:val="24"/>
          <w:u w:val="single"/>
          <w:lang w:val="en-US" w:eastAsia="zh-CN"/>
        </w:rPr>
        <w:t>7</w:t>
      </w:r>
      <w:r>
        <w:rPr>
          <w:kern w:val="0"/>
          <w:sz w:val="24"/>
          <w:u w:val="single"/>
        </w:rPr>
        <w:t xml:space="preserve"> </w:t>
      </w:r>
      <w:r>
        <w:rPr>
          <w:bCs/>
          <w:kern w:val="0"/>
          <w:sz w:val="24"/>
        </w:rPr>
        <w:t>月</w:t>
      </w:r>
      <w:r>
        <w:rPr>
          <w:kern w:val="0"/>
          <w:sz w:val="24"/>
          <w:u w:val="single"/>
        </w:rPr>
        <w:t xml:space="preserve"> </w:t>
      </w:r>
      <w:r>
        <w:rPr>
          <w:rFonts w:hint="eastAsia"/>
          <w:kern w:val="0"/>
          <w:sz w:val="24"/>
          <w:u w:val="single"/>
          <w:lang w:val="en-US" w:eastAsia="zh-CN"/>
        </w:rPr>
        <w:t>20</w:t>
      </w:r>
      <w:r>
        <w:rPr>
          <w:bCs/>
          <w:kern w:val="0"/>
          <w:sz w:val="24"/>
        </w:rPr>
        <w:t>日</w:t>
      </w:r>
      <w:r>
        <w:rPr>
          <w:kern w:val="0"/>
          <w:sz w:val="24"/>
        </w:rPr>
        <w:t>之日起至</w:t>
      </w:r>
      <w:r>
        <w:rPr>
          <w:kern w:val="0"/>
          <w:sz w:val="24"/>
          <w:u w:val="single"/>
        </w:rPr>
        <w:t xml:space="preserve"> </w:t>
      </w:r>
      <w:r>
        <w:rPr>
          <w:rFonts w:hint="eastAsia"/>
          <w:kern w:val="0"/>
          <w:sz w:val="24"/>
          <w:u w:val="single"/>
        </w:rPr>
        <w:t>2018</w:t>
      </w:r>
      <w:r>
        <w:rPr>
          <w:kern w:val="0"/>
          <w:sz w:val="24"/>
          <w:u w:val="single"/>
        </w:rPr>
        <w:t xml:space="preserve"> </w:t>
      </w:r>
      <w:r>
        <w:rPr>
          <w:bCs/>
          <w:kern w:val="0"/>
          <w:sz w:val="24"/>
        </w:rPr>
        <w:t>年</w:t>
      </w:r>
      <w:r>
        <w:rPr>
          <w:rFonts w:hint="eastAsia"/>
          <w:bCs/>
          <w:kern w:val="0"/>
          <w:sz w:val="24"/>
          <w:u w:val="single"/>
        </w:rPr>
        <w:t xml:space="preserve"> </w:t>
      </w:r>
      <w:r>
        <w:rPr>
          <w:rFonts w:hint="eastAsia"/>
          <w:bCs/>
          <w:kern w:val="0"/>
          <w:sz w:val="24"/>
          <w:u w:val="single"/>
          <w:lang w:val="en-US" w:eastAsia="zh-CN"/>
        </w:rPr>
        <w:t>7</w:t>
      </w:r>
      <w:r>
        <w:rPr>
          <w:bCs/>
          <w:kern w:val="0"/>
          <w:sz w:val="24"/>
        </w:rPr>
        <w:t>月</w:t>
      </w:r>
      <w:r>
        <w:rPr>
          <w:kern w:val="0"/>
          <w:sz w:val="24"/>
          <w:u w:val="single"/>
        </w:rPr>
        <w:t xml:space="preserve"> </w:t>
      </w:r>
      <w:r>
        <w:rPr>
          <w:rFonts w:hint="eastAsia"/>
          <w:kern w:val="0"/>
          <w:sz w:val="24"/>
          <w:u w:val="single"/>
          <w:lang w:val="en-US" w:eastAsia="zh-CN"/>
        </w:rPr>
        <w:t>30</w:t>
      </w:r>
      <w:r>
        <w:rPr>
          <w:kern w:val="0"/>
          <w:sz w:val="24"/>
          <w:u w:val="single"/>
        </w:rPr>
        <w:t xml:space="preserve"> </w:t>
      </w:r>
      <w:r>
        <w:rPr>
          <w:bCs/>
          <w:kern w:val="0"/>
          <w:sz w:val="24"/>
        </w:rPr>
        <w:t>日</w:t>
      </w:r>
      <w:r>
        <w:rPr>
          <w:b/>
          <w:bCs/>
          <w:kern w:val="0"/>
          <w:sz w:val="24"/>
        </w:rPr>
        <w:t>，</w:t>
      </w:r>
      <w:r>
        <w:rPr>
          <w:rFonts w:hint="eastAsia"/>
          <w:kern w:val="0"/>
          <w:sz w:val="24"/>
        </w:rPr>
        <w:t>每日上午</w:t>
      </w:r>
      <w:r>
        <w:rPr>
          <w:kern w:val="0"/>
          <w:sz w:val="24"/>
        </w:rPr>
        <w:t>9:00</w:t>
      </w:r>
      <w:r>
        <w:rPr>
          <w:rFonts w:hint="eastAsia"/>
          <w:kern w:val="0"/>
          <w:sz w:val="24"/>
        </w:rPr>
        <w:t>时至</w:t>
      </w:r>
      <w:r>
        <w:rPr>
          <w:kern w:val="0"/>
          <w:sz w:val="24"/>
        </w:rPr>
        <w:t>11:30</w:t>
      </w:r>
      <w:r>
        <w:rPr>
          <w:rFonts w:hint="eastAsia"/>
          <w:kern w:val="0"/>
          <w:sz w:val="24"/>
        </w:rPr>
        <w:t>时，下午</w:t>
      </w:r>
      <w:r>
        <w:rPr>
          <w:kern w:val="0"/>
          <w:sz w:val="24"/>
        </w:rPr>
        <w:t>13:30</w:t>
      </w:r>
      <w:r>
        <w:rPr>
          <w:rFonts w:hint="eastAsia"/>
          <w:kern w:val="0"/>
          <w:sz w:val="24"/>
        </w:rPr>
        <w:t>时至</w:t>
      </w:r>
      <w:r>
        <w:rPr>
          <w:kern w:val="0"/>
          <w:sz w:val="24"/>
        </w:rPr>
        <w:t>16:30</w:t>
      </w:r>
      <w:r>
        <w:rPr>
          <w:rFonts w:hint="eastAsia"/>
          <w:kern w:val="0"/>
          <w:sz w:val="24"/>
        </w:rPr>
        <w:t>时（北京时间，下同）</w:t>
      </w:r>
      <w:r>
        <w:rPr>
          <w:kern w:val="0"/>
          <w:sz w:val="24"/>
        </w:rPr>
        <w:t>，</w:t>
      </w:r>
      <w:r>
        <w:rPr>
          <w:rStyle w:val="6"/>
          <w:rFonts w:hint="eastAsia" w:ascii="宋体" w:hAnsi="宋体" w:cs="宋体"/>
          <w:b w:val="0"/>
          <w:bCs/>
          <w:color w:val="000000"/>
          <w:sz w:val="24"/>
          <w:shd w:val="clear" w:color="auto" w:fill="FFFFFF"/>
        </w:rPr>
        <w:t>在通许县公共资源交易中心报名。 </w:t>
      </w:r>
      <w:r>
        <w:rPr>
          <w:rStyle w:val="6"/>
          <w:rFonts w:hint="eastAsia" w:ascii="宋体" w:hAnsi="宋体" w:cs="宋体"/>
          <w:b w:val="0"/>
          <w:bCs/>
          <w:color w:val="000000"/>
          <w:sz w:val="24"/>
          <w:shd w:val="clear" w:color="auto" w:fill="FFFFFF"/>
        </w:rPr>
        <w:br w:type="textWrapping"/>
      </w:r>
      <w:r>
        <w:rPr>
          <w:rStyle w:val="6"/>
          <w:rFonts w:hint="eastAsia" w:ascii="宋体" w:hAnsi="宋体" w:cs="宋体"/>
          <w:b w:val="0"/>
          <w:bCs/>
          <w:color w:val="000000"/>
          <w:sz w:val="24"/>
          <w:shd w:val="clear" w:color="auto" w:fill="FFFFFF"/>
        </w:rPr>
        <w:t>2、报名及招标文件出售地点：通许县公共资源交易中心(通许县行政路东段路北人民体育场对面)；招标文件售价</w:t>
      </w:r>
      <w:r>
        <w:rPr>
          <w:rStyle w:val="6"/>
          <w:rFonts w:hint="eastAsia" w:ascii="宋体" w:hAnsi="宋体" w:cs="宋体"/>
          <w:b w:val="0"/>
          <w:bCs/>
          <w:color w:val="000000"/>
          <w:sz w:val="24"/>
          <w:shd w:val="clear" w:color="auto" w:fill="FFFFFF"/>
          <w:lang w:val="en-US" w:eastAsia="zh-CN"/>
        </w:rPr>
        <w:t>500</w:t>
      </w:r>
      <w:r>
        <w:rPr>
          <w:rStyle w:val="6"/>
          <w:rFonts w:hint="eastAsia" w:ascii="宋体" w:hAnsi="宋体" w:cs="宋体"/>
          <w:b w:val="0"/>
          <w:bCs/>
          <w:color w:val="000000"/>
          <w:sz w:val="24"/>
          <w:shd w:val="clear" w:color="auto" w:fill="FFFFFF"/>
        </w:rPr>
        <w:t>元/标段。现金购买，售后不退。</w:t>
      </w:r>
      <w:r>
        <w:rPr>
          <w:rStyle w:val="6"/>
          <w:rFonts w:hint="eastAsia" w:ascii="宋体" w:hAnsi="宋体" w:cs="宋体"/>
          <w:b w:val="0"/>
          <w:bCs/>
          <w:color w:val="000000"/>
          <w:sz w:val="24"/>
          <w:shd w:val="clear" w:color="auto" w:fill="FFFFFF"/>
        </w:rPr>
        <w:br w:type="textWrapping"/>
      </w:r>
      <w:r>
        <w:rPr>
          <w:rStyle w:val="6"/>
          <w:rFonts w:hint="eastAsia" w:ascii="宋体" w:hAnsi="宋体" w:cs="宋体"/>
          <w:b w:val="0"/>
          <w:bCs/>
          <w:color w:val="000000"/>
          <w:sz w:val="24"/>
          <w:shd w:val="clear" w:color="auto" w:fill="FFFFFF"/>
        </w:rPr>
        <w:t>3、报名需携带资料：持“申请人资格要求”中相关证件的彩色扫描件或彩色复印件两套并加盖单位公章，授权代表授权书原件及授权代表身份证本人身份证原件、法人授权委托书原件登记报名并购买资格预审文件。</w:t>
      </w:r>
    </w:p>
    <w:p>
      <w:pPr>
        <w:widowControl/>
        <w:shd w:val="clear" w:color="auto" w:fill="FFFFFF"/>
        <w:spacing w:line="400" w:lineRule="exact"/>
        <w:jc w:val="left"/>
        <w:rPr>
          <w:rStyle w:val="6"/>
          <w:rFonts w:hint="eastAsia" w:ascii="宋体" w:hAnsi="宋体" w:cs="宋体"/>
          <w:b w:val="0"/>
          <w:bCs/>
          <w:color w:val="000000"/>
          <w:sz w:val="24"/>
          <w:shd w:val="clear" w:color="auto" w:fill="FFFFFF"/>
        </w:rPr>
      </w:pPr>
      <w:r>
        <w:rPr>
          <w:rStyle w:val="6"/>
          <w:rFonts w:hint="eastAsia" w:ascii="宋体" w:hAnsi="宋体" w:cs="宋体"/>
          <w:b w:val="0"/>
          <w:bCs/>
          <w:color w:val="000000"/>
          <w:sz w:val="24"/>
          <w:shd w:val="clear" w:color="auto" w:fill="FFFFFF"/>
        </w:rPr>
        <w:t>4、投标单位现场报名后需要登陆开封市公共资源交易信息网进行网上报名;办理电子密钥与网上投标相关事宜：投标供应商登陆中心网站，可获知注册办理中心电子密钥的相关事宜，在公告期内可免费下载本中心《招标文件》的电子文档。网址：http://www.kfsggzyjyw.cn/；按中心要求办理投标供应商电子密钥。否则视为报名无效，不允许参加投标。</w:t>
      </w:r>
    </w:p>
    <w:p>
      <w:pPr>
        <w:widowControl/>
        <w:shd w:val="clear" w:color="auto" w:fill="FFFFFF"/>
        <w:spacing w:line="400" w:lineRule="exact"/>
        <w:jc w:val="left"/>
        <w:outlineLvl w:val="1"/>
        <w:rPr>
          <w:rFonts w:hint="eastAsia"/>
          <w:kern w:val="0"/>
          <w:sz w:val="24"/>
        </w:rPr>
      </w:pPr>
      <w:bookmarkStart w:id="13" w:name="_Toc412"/>
      <w:r>
        <w:rPr>
          <w:b/>
          <w:bCs/>
          <w:kern w:val="0"/>
          <w:sz w:val="24"/>
        </w:rPr>
        <w:t>五、</w:t>
      </w:r>
      <w:r>
        <w:rPr>
          <w:rFonts w:hint="eastAsia"/>
          <w:b/>
          <w:bCs/>
          <w:kern w:val="0"/>
          <w:sz w:val="24"/>
        </w:rPr>
        <w:t>资格申请文件的递交</w:t>
      </w:r>
      <w:bookmarkEnd w:id="13"/>
    </w:p>
    <w:p>
      <w:pPr>
        <w:widowControl/>
        <w:shd w:val="clear" w:color="auto" w:fill="FFFFFF"/>
        <w:spacing w:line="400" w:lineRule="exact"/>
        <w:jc w:val="left"/>
        <w:rPr>
          <w:color w:val="333333"/>
        </w:rPr>
      </w:pPr>
      <w:r>
        <w:rPr>
          <w:rStyle w:val="6"/>
          <w:rFonts w:hint="eastAsia" w:ascii="宋体" w:hAnsi="宋体" w:cs="宋体"/>
          <w:b w:val="0"/>
          <w:bCs/>
          <w:color w:val="000000"/>
          <w:sz w:val="24"/>
          <w:shd w:val="clear" w:color="auto" w:fill="FFFFFF"/>
        </w:rPr>
        <w:t>1、资格申请文件递交截止时间（投标截止时间）：2018年</w:t>
      </w:r>
      <w:r>
        <w:rPr>
          <w:rStyle w:val="6"/>
          <w:rFonts w:hint="eastAsia" w:ascii="宋体" w:hAnsi="宋体" w:cs="宋体"/>
          <w:b w:val="0"/>
          <w:bCs/>
          <w:color w:val="000000"/>
          <w:sz w:val="24"/>
          <w:shd w:val="clear" w:color="auto" w:fill="FFFFFF"/>
          <w:lang w:val="en-US" w:eastAsia="zh-CN"/>
        </w:rPr>
        <w:t xml:space="preserve"> 8</w:t>
      </w:r>
      <w:r>
        <w:rPr>
          <w:rStyle w:val="6"/>
          <w:rFonts w:hint="eastAsia" w:ascii="宋体" w:hAnsi="宋体" w:cs="宋体"/>
          <w:b w:val="0"/>
          <w:bCs/>
          <w:color w:val="000000"/>
          <w:sz w:val="24"/>
          <w:shd w:val="clear" w:color="auto" w:fill="FFFFFF"/>
        </w:rPr>
        <w:t>月</w:t>
      </w:r>
      <w:r>
        <w:rPr>
          <w:rStyle w:val="6"/>
          <w:rFonts w:hint="eastAsia" w:ascii="宋体" w:hAnsi="宋体" w:cs="宋体"/>
          <w:b w:val="0"/>
          <w:bCs/>
          <w:color w:val="000000"/>
          <w:sz w:val="24"/>
          <w:shd w:val="clear" w:color="auto" w:fill="FFFFFF"/>
          <w:lang w:val="en-US" w:eastAsia="zh-CN"/>
        </w:rPr>
        <w:t>10</w:t>
      </w:r>
      <w:r>
        <w:rPr>
          <w:rStyle w:val="6"/>
          <w:rFonts w:hint="eastAsia" w:ascii="宋体" w:hAnsi="宋体" w:cs="宋体"/>
          <w:b w:val="0"/>
          <w:bCs/>
          <w:color w:val="000000"/>
          <w:sz w:val="24"/>
          <w:shd w:val="clear" w:color="auto" w:fill="FFFFFF"/>
        </w:rPr>
        <w:t>日上午10时00分。</w:t>
      </w:r>
      <w:r>
        <w:rPr>
          <w:rStyle w:val="6"/>
          <w:rFonts w:hint="eastAsia" w:ascii="宋体" w:hAnsi="宋体" w:cs="宋体"/>
          <w:b w:val="0"/>
          <w:bCs/>
          <w:color w:val="000000"/>
          <w:sz w:val="24"/>
          <w:shd w:val="clear" w:color="auto" w:fill="FFFFFF"/>
        </w:rPr>
        <w:br w:type="textWrapping"/>
      </w:r>
      <w:r>
        <w:rPr>
          <w:rStyle w:val="6"/>
          <w:rFonts w:hint="eastAsia" w:ascii="宋体" w:hAnsi="宋体" w:cs="宋体"/>
          <w:b w:val="0"/>
          <w:bCs/>
          <w:color w:val="000000"/>
          <w:sz w:val="24"/>
          <w:shd w:val="clear" w:color="auto" w:fill="FFFFFF"/>
        </w:rPr>
        <w:t>2、资格申请文件递交地点：通许县公共资源交易中心开标室。</w:t>
      </w:r>
      <w:r>
        <w:rPr>
          <w:rStyle w:val="6"/>
          <w:rFonts w:hint="eastAsia" w:ascii="宋体" w:hAnsi="宋体" w:cs="宋体"/>
          <w:b w:val="0"/>
          <w:bCs/>
          <w:color w:val="000000"/>
          <w:sz w:val="24"/>
          <w:shd w:val="clear" w:color="auto" w:fill="FFFFFF"/>
        </w:rPr>
        <w:br w:type="textWrapping"/>
      </w:r>
      <w:r>
        <w:rPr>
          <w:rStyle w:val="6"/>
          <w:rFonts w:hint="eastAsia" w:ascii="宋体" w:hAnsi="宋体" w:cs="宋体"/>
          <w:b w:val="0"/>
          <w:bCs/>
          <w:color w:val="000000"/>
          <w:sz w:val="24"/>
          <w:shd w:val="clear" w:color="auto" w:fill="FFFFFF"/>
        </w:rPr>
        <w:t>3、逾期送达的或者未送达指定地点的资格申请文件，招标人不予受理。</w:t>
      </w:r>
    </w:p>
    <w:p>
      <w:pPr>
        <w:widowControl/>
        <w:shd w:val="clear" w:color="auto" w:fill="FFFFFF"/>
        <w:adjustRightInd w:val="0"/>
        <w:spacing w:line="400" w:lineRule="exact"/>
        <w:jc w:val="left"/>
        <w:outlineLvl w:val="1"/>
        <w:rPr>
          <w:b/>
          <w:bCs/>
          <w:kern w:val="0"/>
          <w:sz w:val="24"/>
        </w:rPr>
      </w:pPr>
      <w:bookmarkStart w:id="14" w:name="_Toc29665"/>
      <w:r>
        <w:rPr>
          <w:b/>
          <w:bCs/>
          <w:kern w:val="0"/>
          <w:sz w:val="24"/>
        </w:rPr>
        <w:t>六、资格审查及确定合格的申请人</w:t>
      </w:r>
      <w:bookmarkEnd w:id="14"/>
    </w:p>
    <w:p>
      <w:pPr>
        <w:pStyle w:val="4"/>
        <w:adjustRightInd w:val="0"/>
        <w:spacing w:before="0" w:beforeAutospacing="0" w:after="0" w:afterAutospacing="0" w:line="400" w:lineRule="exact"/>
        <w:ind w:firstLine="480" w:firstLineChars="200"/>
        <w:rPr>
          <w:rFonts w:ascii="Times New Roman" w:hAnsi="Times New Roman" w:cs="Times New Roman"/>
        </w:rPr>
      </w:pPr>
      <w:r>
        <w:rPr>
          <w:rFonts w:ascii="Times New Roman" w:hAnsi="Times New Roman" w:cs="Times New Roman"/>
        </w:rPr>
        <w:t>本次资格预审采用合格制，本项目不限定参与竞争的合格社会资本的数量。所有资格预审合格的社会资本均作为合格的申请人，具有获取本项目的招标文件及参加本项目投标的资格。未参加本次资格预审或未能通过资格预审的申请人不得进入下一轮招标。</w:t>
      </w:r>
    </w:p>
    <w:p>
      <w:pPr>
        <w:widowControl/>
        <w:shd w:val="clear" w:color="auto" w:fill="FFFFFF"/>
        <w:adjustRightInd w:val="0"/>
        <w:spacing w:line="400" w:lineRule="exact"/>
        <w:jc w:val="left"/>
        <w:outlineLvl w:val="1"/>
        <w:rPr>
          <w:b/>
          <w:bCs/>
          <w:kern w:val="0"/>
          <w:sz w:val="24"/>
        </w:rPr>
      </w:pPr>
      <w:bookmarkStart w:id="15" w:name="_Toc6456"/>
      <w:r>
        <w:rPr>
          <w:b/>
          <w:bCs/>
          <w:kern w:val="0"/>
          <w:sz w:val="24"/>
        </w:rPr>
        <w:t>七、</w:t>
      </w:r>
      <w:r>
        <w:rPr>
          <w:rFonts w:hint="eastAsia"/>
          <w:b/>
          <w:bCs/>
          <w:kern w:val="0"/>
          <w:sz w:val="24"/>
        </w:rPr>
        <w:t>资格预审公告发布媒体</w:t>
      </w:r>
      <w:bookmarkEnd w:id="15"/>
    </w:p>
    <w:p>
      <w:pPr>
        <w:widowControl/>
        <w:shd w:val="clear" w:color="auto" w:fill="FFFFFF"/>
        <w:adjustRightInd w:val="0"/>
        <w:spacing w:line="400" w:lineRule="exact"/>
        <w:ind w:firstLine="480" w:firstLineChars="200"/>
        <w:jc w:val="left"/>
        <w:rPr>
          <w:rFonts w:hint="eastAsia"/>
          <w:kern w:val="0"/>
          <w:sz w:val="24"/>
        </w:rPr>
      </w:pPr>
      <w:bookmarkStart w:id="16" w:name="_Toc24830"/>
      <w:r>
        <w:rPr>
          <w:rFonts w:hint="eastAsia"/>
          <w:kern w:val="0"/>
          <w:sz w:val="24"/>
        </w:rPr>
        <w:t>本次资格预审公告在</w:t>
      </w:r>
      <w:bookmarkStart w:id="17" w:name="_Toc346177906"/>
      <w:r>
        <w:rPr>
          <w:rFonts w:hint="eastAsia"/>
          <w:kern w:val="0"/>
          <w:sz w:val="24"/>
        </w:rPr>
        <w:t>《中国招标投标公共服务平台》</w:t>
      </w:r>
      <w:bookmarkEnd w:id="17"/>
      <w:r>
        <w:rPr>
          <w:rFonts w:hint="eastAsia"/>
          <w:kern w:val="0"/>
          <w:sz w:val="24"/>
        </w:rPr>
        <w:t>、《河南政府采购网》、《开封市公共资源交易信息网》、《通许县公共资源交易信息网》上同时发布</w:t>
      </w:r>
      <w:bookmarkEnd w:id="16"/>
      <w:r>
        <w:rPr>
          <w:rFonts w:hint="eastAsia"/>
          <w:kern w:val="0"/>
          <w:sz w:val="24"/>
        </w:rPr>
        <w:t>。</w:t>
      </w:r>
    </w:p>
    <w:p>
      <w:pPr>
        <w:widowControl/>
        <w:shd w:val="clear" w:color="auto" w:fill="FFFFFF"/>
        <w:adjustRightInd w:val="0"/>
        <w:spacing w:line="400" w:lineRule="exact"/>
        <w:jc w:val="left"/>
        <w:outlineLvl w:val="1"/>
        <w:rPr>
          <w:b/>
          <w:bCs/>
          <w:kern w:val="0"/>
          <w:sz w:val="24"/>
        </w:rPr>
      </w:pPr>
      <w:bookmarkStart w:id="18" w:name="_Toc24365"/>
      <w:r>
        <w:rPr>
          <w:b/>
          <w:bCs/>
          <w:kern w:val="0"/>
          <w:sz w:val="24"/>
        </w:rPr>
        <w:t>八、本次资格预审联系事项</w:t>
      </w:r>
      <w:bookmarkEnd w:id="18"/>
    </w:p>
    <w:p>
      <w:pPr>
        <w:widowControl/>
        <w:shd w:val="clear" w:color="auto" w:fill="FFFFFF"/>
        <w:spacing w:line="400" w:lineRule="exact"/>
        <w:ind w:firstLine="480" w:firstLineChars="200"/>
        <w:jc w:val="left"/>
        <w:rPr>
          <w:rFonts w:hint="eastAsia"/>
          <w:kern w:val="0"/>
          <w:sz w:val="24"/>
        </w:rPr>
      </w:pPr>
      <w:r>
        <w:rPr>
          <w:rFonts w:hint="eastAsia"/>
          <w:kern w:val="0"/>
          <w:sz w:val="24"/>
        </w:rPr>
        <w:t>采 购 人：通许县住房和城乡规划建设局</w:t>
      </w:r>
    </w:p>
    <w:p>
      <w:pPr>
        <w:widowControl/>
        <w:shd w:val="clear" w:color="auto" w:fill="FFFFFF"/>
        <w:spacing w:line="400" w:lineRule="exact"/>
        <w:ind w:firstLine="480" w:firstLineChars="200"/>
        <w:jc w:val="left"/>
        <w:rPr>
          <w:rFonts w:hint="eastAsia"/>
          <w:kern w:val="0"/>
          <w:sz w:val="24"/>
        </w:rPr>
      </w:pPr>
      <w:r>
        <w:rPr>
          <w:rFonts w:hint="eastAsia"/>
          <w:kern w:val="0"/>
          <w:sz w:val="24"/>
        </w:rPr>
        <w:t>联 系 人：王先生</w:t>
      </w:r>
    </w:p>
    <w:p>
      <w:pPr>
        <w:widowControl/>
        <w:shd w:val="clear" w:color="auto" w:fill="FFFFFF"/>
        <w:spacing w:line="400" w:lineRule="exact"/>
        <w:ind w:firstLine="480" w:firstLineChars="200"/>
        <w:jc w:val="left"/>
        <w:rPr>
          <w:rFonts w:hint="eastAsia"/>
          <w:kern w:val="0"/>
          <w:sz w:val="24"/>
        </w:rPr>
      </w:pPr>
      <w:r>
        <w:rPr>
          <w:rFonts w:hint="eastAsia"/>
          <w:kern w:val="0"/>
          <w:sz w:val="24"/>
        </w:rPr>
        <w:t>电     话：0371-24970222</w:t>
      </w:r>
    </w:p>
    <w:p>
      <w:pPr>
        <w:widowControl/>
        <w:shd w:val="clear" w:color="auto" w:fill="FFFFFF"/>
        <w:spacing w:line="400" w:lineRule="exact"/>
        <w:ind w:firstLine="480" w:firstLineChars="200"/>
        <w:jc w:val="left"/>
        <w:rPr>
          <w:rFonts w:hint="eastAsia"/>
          <w:kern w:val="0"/>
          <w:sz w:val="24"/>
        </w:rPr>
      </w:pPr>
      <w:r>
        <w:rPr>
          <w:rFonts w:hint="eastAsia"/>
          <w:kern w:val="0"/>
          <w:sz w:val="24"/>
        </w:rPr>
        <w:t>地   址：通许县咸平大道西段</w:t>
      </w:r>
    </w:p>
    <w:p>
      <w:pPr>
        <w:widowControl/>
        <w:shd w:val="clear" w:color="auto" w:fill="FFFFFF"/>
        <w:spacing w:line="400" w:lineRule="exact"/>
        <w:ind w:firstLine="480" w:firstLineChars="200"/>
        <w:jc w:val="left"/>
        <w:rPr>
          <w:rFonts w:hint="eastAsia"/>
          <w:kern w:val="0"/>
          <w:sz w:val="24"/>
        </w:rPr>
      </w:pPr>
      <w:r>
        <w:rPr>
          <w:rFonts w:hint="eastAsia"/>
          <w:kern w:val="0"/>
          <w:sz w:val="24"/>
        </w:rPr>
        <w:t>招标代理机构：中金泰富工程管理有限公司</w:t>
      </w:r>
    </w:p>
    <w:p>
      <w:pPr>
        <w:widowControl/>
        <w:shd w:val="clear" w:color="auto" w:fill="FFFFFF"/>
        <w:spacing w:line="400" w:lineRule="exact"/>
        <w:ind w:firstLine="480" w:firstLineChars="200"/>
        <w:jc w:val="left"/>
        <w:rPr>
          <w:rFonts w:hint="eastAsia"/>
          <w:kern w:val="0"/>
          <w:sz w:val="24"/>
        </w:rPr>
      </w:pPr>
      <w:r>
        <w:rPr>
          <w:rFonts w:hint="eastAsia"/>
          <w:kern w:val="0"/>
          <w:sz w:val="24"/>
        </w:rPr>
        <w:t>联系人：</w:t>
      </w:r>
      <w:r>
        <w:rPr>
          <w:rFonts w:hint="eastAsia"/>
          <w:kern w:val="0"/>
          <w:sz w:val="24"/>
          <w:lang w:eastAsia="zh-CN"/>
        </w:rPr>
        <w:t>邢</w:t>
      </w:r>
      <w:r>
        <w:rPr>
          <w:rFonts w:hint="eastAsia"/>
          <w:kern w:val="0"/>
          <w:sz w:val="24"/>
        </w:rPr>
        <w:t>女士</w:t>
      </w:r>
    </w:p>
    <w:p>
      <w:pPr>
        <w:widowControl/>
        <w:shd w:val="clear" w:color="auto" w:fill="FFFFFF"/>
        <w:spacing w:line="360" w:lineRule="auto"/>
        <w:ind w:firstLine="480" w:firstLineChars="200"/>
        <w:jc w:val="left"/>
        <w:rPr>
          <w:rFonts w:hint="eastAsia"/>
          <w:kern w:val="0"/>
          <w:sz w:val="24"/>
        </w:rPr>
      </w:pPr>
      <w:r>
        <w:rPr>
          <w:rFonts w:hint="eastAsia"/>
          <w:kern w:val="0"/>
          <w:sz w:val="24"/>
        </w:rPr>
        <w:t xml:space="preserve">电  话：0371-23669581  </w:t>
      </w:r>
    </w:p>
    <w:p>
      <w:pPr>
        <w:ind w:firstLine="480" w:firstLineChars="200"/>
      </w:pPr>
      <w:r>
        <w:rPr>
          <w:rFonts w:hint="eastAsia"/>
          <w:kern w:val="0"/>
          <w:sz w:val="24"/>
        </w:rPr>
        <w:t>地  址：河南省开封市晋安路</w:t>
      </w:r>
    </w:p>
    <w:bookmarkEnd w:id="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343F0"/>
    <w:multiLevelType w:val="singleLevel"/>
    <w:tmpl w:val="27E343F0"/>
    <w:lvl w:ilvl="0" w:tentative="0">
      <w:start w:val="2"/>
      <w:numFmt w:val="chineseCounting"/>
      <w:suff w:val="nothing"/>
      <w:lvlText w:val="%1、"/>
      <w:lvlJc w:val="left"/>
      <w:rPr>
        <w:rFonts w:hint="eastAsia"/>
      </w:rPr>
    </w:lvl>
  </w:abstractNum>
  <w:abstractNum w:abstractNumId="1">
    <w:nsid w:val="74DC2249"/>
    <w:multiLevelType w:val="singleLevel"/>
    <w:tmpl w:val="74DC224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303A0"/>
    <w:rsid w:val="49740CD2"/>
    <w:rsid w:val="4DCE76DE"/>
    <w:rsid w:val="672F6ACB"/>
    <w:rsid w:val="77F303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adjustRightInd/>
      <w:spacing w:after="120" w:afterLines="0"/>
      <w:ind w:firstLine="420"/>
      <w:jc w:val="both"/>
      <w:textAlignment w:val="auto"/>
    </w:pPr>
    <w:rPr>
      <w:rFonts w:ascii="Times New Roman"/>
      <w:kern w:val="2"/>
      <w:sz w:val="32"/>
    </w:rPr>
  </w:style>
  <w:style w:type="paragraph" w:styleId="3">
    <w:name w:val="Body Text"/>
    <w:basedOn w:val="1"/>
    <w:unhideWhenUsed/>
    <w:qFormat/>
    <w:uiPriority w:val="99"/>
    <w:rPr>
      <w:sz w:val="2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Strong"/>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2018-07-19T03:46:00Z</dcterms:created>
  <dc:creator>Administrator</dc:creator>
  <cp:lastModifiedBy>北京江河润泽工程管理咨询有限公司:北京江河润泽工程管理咨询有限公司</cp:lastModifiedBy>
  <dcterms:modified xsi:type="dcterms:W3CDTF">2018-07-19T09:58:01Z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